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-370838</wp:posOffset>
            </wp:positionV>
            <wp:extent cx="1646007" cy="365760"/>
            <wp:effectExtent b="0" l="0" r="0" t="0"/>
            <wp:wrapNone/>
            <wp:docPr descr="Blue text on a black background&#10;&#10;Description automatically generated" id="1403671633" name="image1.png"/>
            <a:graphic>
              <a:graphicData uri="http://schemas.openxmlformats.org/drawingml/2006/picture">
                <pic:pic>
                  <pic:nvPicPr>
                    <pic:cNvPr descr="Blue text on a black background&#10;&#10;Description automatically generated" id="0" name="image1.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4">
            <w:pPr>
              <w:rPr>
                <w:sz w:val="20"/>
                <w:szCs w:val="20"/>
              </w:rPr>
            </w:pPr>
            <w:r w:rsidDel="00000000" w:rsidR="00000000" w:rsidRPr="00000000">
              <w:rPr>
                <w:rFonts w:ascii="Arial" w:cs="Arial" w:eastAsia="Arial" w:hAnsi="Arial"/>
                <w:b w:val="1"/>
                <w:bCs w:val="1"/>
                <w:color w:val="272626"/>
                <w:sz w:val="26"/>
                <w:szCs w:val="26"/>
                <w:rtl w:val="0"/>
              </w:rPr>
              <w:t xml:space="preserve">EU Support to REDI Phase II: Advancing</w:t>
            </w:r>
            <w:r w:rsidDel="00000000" w:rsidR="00000000" w:rsidRPr="00000000">
              <w:rPr>
                <w:rtl w:val="0"/>
              </w:rPr>
            </w:r>
          </w:p>
        </w:tc>
        <w:tc>
          <w:tcPr>
            <w:vAlign w:val="bottom"/>
          </w:tcPr>
          <w:p w:rsidR="00000000" w:rsidDel="00000000" w:rsidP="00000000" w:rsidRDefault="00000000" w:rsidRPr="00000000" w14:paraId="00000005">
            <w:pPr>
              <w:jc w:val="center"/>
              <w:rPr>
                <w:sz w:val="20"/>
                <w:szCs w:val="20"/>
              </w:rPr>
            </w:pP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6">
            <w:pPr>
              <w:rPr>
                <w:sz w:val="20"/>
                <w:szCs w:val="20"/>
              </w:rPr>
            </w:pPr>
            <w:r w:rsidDel="00000000" w:rsidR="00000000" w:rsidRPr="00000000">
              <w:rPr>
                <w:rFonts w:ascii="Arial" w:cs="Arial" w:eastAsia="Arial" w:hAnsi="Arial"/>
                <w:b w:val="1"/>
                <w:bCs w:val="1"/>
                <w:color w:val="272626"/>
                <w:sz w:val="26"/>
                <w:szCs w:val="26"/>
                <w:rtl w:val="0"/>
              </w:rPr>
              <w:t xml:space="preserve">Roma Entrepreneurs in the Western</w:t>
            </w:r>
            <w:r w:rsidDel="00000000" w:rsidR="00000000" w:rsidRPr="00000000">
              <w:rPr>
                <w:rtl w:val="0"/>
              </w:rPr>
            </w:r>
          </w:p>
        </w:tc>
        <w:tc>
          <w:tcPr>
            <w:vAlign w:val="bottom"/>
          </w:tcPr>
          <w:p w:rsidR="00000000" w:rsidDel="00000000" w:rsidP="00000000" w:rsidRDefault="00000000" w:rsidRPr="00000000" w14:paraId="00000007">
            <w:pPr>
              <w:rPr>
                <w:sz w:val="20"/>
                <w:szCs w:val="20"/>
              </w:rPr>
            </w:pP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8">
            <w:pPr>
              <w:rPr>
                <w:sz w:val="20"/>
                <w:szCs w:val="20"/>
              </w:rPr>
            </w:pPr>
            <w:r w:rsidDel="00000000" w:rsidR="00000000" w:rsidRPr="00000000">
              <w:rPr>
                <w:rFonts w:ascii="Arial" w:cs="Arial" w:eastAsia="Arial" w:hAnsi="Arial"/>
                <w:b w:val="1"/>
                <w:bCs w:val="1"/>
                <w:color w:val="272626"/>
                <w:sz w:val="26"/>
                <w:szCs w:val="26"/>
                <w:rtl w:val="0"/>
              </w:rPr>
              <w:t xml:space="preserve">Balkans and Türkiye</w:t>
            </w:r>
            <w:r w:rsidDel="00000000" w:rsidR="00000000" w:rsidRPr="00000000">
              <w:rPr>
                <w:rtl w:val="0"/>
              </w:rPr>
            </w:r>
          </w:p>
        </w:tc>
        <w:tc>
          <w:tcPr>
            <w:vAlign w:val="bottom"/>
          </w:tcPr>
          <w:p w:rsidR="00000000" w:rsidDel="00000000" w:rsidP="00000000" w:rsidRDefault="00000000" w:rsidRPr="00000000" w14:paraId="00000009">
            <w:pPr>
              <w:rPr>
                <w:sz w:val="24"/>
                <w:szCs w:val="24"/>
              </w:rPr>
            </w:pPr>
            <w:r w:rsidDel="00000000" w:rsidR="00000000" w:rsidRPr="00000000">
              <w:rPr>
                <w:rtl w:val="0"/>
              </w:rPr>
            </w:r>
          </w:p>
        </w:tc>
      </w:tr>
    </w:tbl>
    <w:p w:rsidR="00000000" w:rsidDel="00000000" w:rsidP="00000000" w:rsidRDefault="00000000" w:rsidRPr="00000000" w14:paraId="0000000A">
      <w:pPr>
        <w:spacing w:line="200" w:lineRule="auto"/>
        <w:rPr>
          <w:sz w:val="24"/>
          <w:szCs w:val="24"/>
        </w:rPr>
      </w:pPr>
      <w:r w:rsidDel="00000000" w:rsidR="00000000" w:rsidRPr="00000000">
        <w:rPr>
          <w:rtl w:val="0"/>
        </w:rPr>
      </w:r>
    </w:p>
    <w:p w:rsidR="00000000" w:rsidDel="00000000" w:rsidP="00000000" w:rsidRDefault="00000000" w:rsidRPr="00000000" w14:paraId="0000000B">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jc w:val="center"/>
        <w:rPr>
          <w:b w:val="1"/>
          <w:bCs w:val="1"/>
          <w:sz w:val="28"/>
          <w:szCs w:val="28"/>
        </w:rPr>
      </w:pPr>
      <w:r w:rsidDel="00000000" w:rsidR="00000000" w:rsidRPr="00000000">
        <w:rPr>
          <w:b w:val="1"/>
          <w:bCs w:val="1"/>
          <w:sz w:val="28"/>
          <w:szCs w:val="28"/>
          <w:rtl w:val="0"/>
        </w:rPr>
        <w:t xml:space="preserve">REDI grants aimed at supporting formal employment of Roma and Egyptians in Montenegro </w:t>
      </w:r>
    </w:p>
    <w:p w:rsidR="00000000" w:rsidDel="00000000" w:rsidP="00000000" w:rsidRDefault="00000000" w:rsidRPr="00000000" w14:paraId="0000000E">
      <w:pPr>
        <w:rPr>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Whistleblowing and Whistleblower Protection Protocol</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numPr>
          <w:ilvl w:val="0"/>
          <w:numId w:val="11"/>
        </w:numPr>
        <w:ind w:left="720" w:hanging="360"/>
        <w:rPr/>
      </w:pPr>
      <w:r w:rsidDel="00000000" w:rsidR="00000000" w:rsidRPr="00000000">
        <w:rPr>
          <w:b w:val="1"/>
          <w:bCs w:val="1"/>
          <w:rtl w:val="0"/>
        </w:rPr>
        <w:t xml:space="preserve">Subject of the Protocol</w:t>
        <w:br w:type="textWrapping"/>
      </w:r>
      <w:r w:rsidDel="00000000" w:rsidR="00000000" w:rsidRPr="00000000">
        <w:rPr>
          <w:rtl w:val="0"/>
        </w:rPr>
        <w:t xml:space="preserve">This protocol regulates the whistleblowing procedure and protection of whistleblowers within the grant-awarding program, in accordance with the </w:t>
      </w:r>
      <w:r w:rsidDel="00000000" w:rsidR="00000000" w:rsidRPr="00000000">
        <w:rPr>
          <w:rtl w:val="0"/>
        </w:rPr>
        <w:t xml:space="preserve">Whistleblower Protection Act of the Republic of Montenegro  (“Official Gazette CG”, no. 60/2018), hereinafter the Act, as well as REDI’s internal procedures and European Union policies.</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1"/>
        </w:numPr>
        <w:ind w:left="720" w:hanging="360"/>
        <w:rPr>
          <w:b w:val="1"/>
          <w:bCs w:val="1"/>
        </w:rPr>
      </w:pPr>
      <w:r w:rsidDel="00000000" w:rsidR="00000000" w:rsidRPr="00000000">
        <w:rPr>
          <w:b w:val="1"/>
          <w:bCs w:val="1"/>
          <w:rtl w:val="0"/>
        </w:rPr>
        <w:t xml:space="preserve">Definitions of Terms</w:t>
      </w:r>
    </w:p>
    <w:p w:rsidR="00000000" w:rsidDel="00000000" w:rsidP="00000000" w:rsidRDefault="00000000" w:rsidRPr="00000000" w14:paraId="00000015">
      <w:pPr>
        <w:numPr>
          <w:ilvl w:val="0"/>
          <w:numId w:val="1"/>
        </w:numPr>
        <w:ind w:left="1440" w:hanging="360"/>
        <w:rPr/>
      </w:pPr>
      <w:r w:rsidDel="00000000" w:rsidR="00000000" w:rsidRPr="00000000">
        <w:rPr>
          <w:rtl w:val="0"/>
        </w:rPr>
        <w:t xml:space="preserve">Whistleblower: a person who, in good faith, reports information about unlawful, unethical, or harmful conduct, in accordance with Article 2 of the Act.</w:t>
      </w:r>
    </w:p>
    <w:p w:rsidR="00000000" w:rsidDel="00000000" w:rsidP="00000000" w:rsidRDefault="00000000" w:rsidRPr="00000000" w14:paraId="00000016">
      <w:pPr>
        <w:numPr>
          <w:ilvl w:val="0"/>
          <w:numId w:val="1"/>
        </w:numPr>
        <w:ind w:left="1440" w:hanging="360"/>
        <w:rPr/>
      </w:pPr>
      <w:r w:rsidDel="00000000" w:rsidR="00000000" w:rsidRPr="00000000">
        <w:rPr>
          <w:rtl w:val="0"/>
        </w:rPr>
        <w:t xml:space="preserve">Whistleblowing: the act of reporting information about threats to the public interest, misuse of funds, corruption, discrimination, or other irregularities.</w:t>
      </w:r>
    </w:p>
    <w:p w:rsidR="00000000" w:rsidDel="00000000" w:rsidP="00000000" w:rsidRDefault="00000000" w:rsidRPr="00000000" w14:paraId="00000017">
      <w:pPr>
        <w:numPr>
          <w:ilvl w:val="0"/>
          <w:numId w:val="1"/>
        </w:numPr>
        <w:ind w:left="1440" w:hanging="360"/>
        <w:rPr/>
      </w:pPr>
      <w:r w:rsidDel="00000000" w:rsidR="00000000" w:rsidRPr="00000000">
        <w:rPr>
          <w:rtl w:val="0"/>
        </w:rPr>
        <w:t xml:space="preserve">Retaliation: any action that harms a whistleblower because of whistleblowing (Article 6 of the Act).</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2"/>
        </w:numPr>
        <w:ind w:left="720" w:hanging="360"/>
        <w:rPr/>
      </w:pPr>
      <w:r w:rsidDel="00000000" w:rsidR="00000000" w:rsidRPr="00000000">
        <w:rPr>
          <w:b w:val="1"/>
          <w:bCs w:val="1"/>
          <w:rtl w:val="0"/>
        </w:rPr>
        <w:t xml:space="preserve">Right to Whistleblow and Prohibition of Retaliation</w:t>
      </w:r>
      <w:r w:rsidDel="00000000" w:rsidR="00000000" w:rsidRPr="00000000">
        <w:rPr>
          <w:rtl w:val="0"/>
        </w:rPr>
        <w:br w:type="textWrapping"/>
        <w:t xml:space="preserve">REDI guarantees the right to whistleblow without fear of retaliation. Any person has the right to submit a report, and any retaliation is prohibited and punishable in accordance with Article 6 of the Act.</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ind w:left="720" w:hanging="360"/>
        <w:rPr/>
      </w:pPr>
      <w:r w:rsidDel="00000000" w:rsidR="00000000" w:rsidRPr="00000000">
        <w:rPr>
          <w:b w:val="1"/>
          <w:bCs w:val="1"/>
          <w:rtl w:val="0"/>
        </w:rPr>
        <w:t xml:space="preserve">Reporting Channels</w:t>
      </w:r>
      <w:r w:rsidDel="00000000" w:rsidR="00000000" w:rsidRPr="00000000">
        <w:rPr>
          <w:rtl w:val="0"/>
        </w:rPr>
        <w:br w:type="textWrapping"/>
        <w:t xml:space="preserve">Whistleblowing may be carried out:</w:t>
      </w:r>
    </w:p>
    <w:p w:rsidR="00000000" w:rsidDel="00000000" w:rsidP="00000000" w:rsidRDefault="00000000" w:rsidRPr="00000000" w14:paraId="0000001C">
      <w:pPr>
        <w:numPr>
          <w:ilvl w:val="0"/>
          <w:numId w:val="3"/>
        </w:numPr>
        <w:ind w:left="1440" w:hanging="360"/>
        <w:rPr/>
      </w:pPr>
      <w:r w:rsidDel="00000000" w:rsidR="00000000" w:rsidRPr="00000000">
        <w:rPr>
          <w:rtl w:val="0"/>
        </w:rPr>
        <w:t xml:space="preserve">internally within the organization (Article 13 of the Act),</w:t>
      </w:r>
    </w:p>
    <w:p w:rsidR="00000000" w:rsidDel="00000000" w:rsidP="00000000" w:rsidRDefault="00000000" w:rsidRPr="00000000" w14:paraId="0000001D">
      <w:pPr>
        <w:numPr>
          <w:ilvl w:val="0"/>
          <w:numId w:val="3"/>
        </w:numPr>
        <w:ind w:left="1440" w:hanging="360"/>
        <w:rPr/>
      </w:pPr>
      <w:r w:rsidDel="00000000" w:rsidR="00000000" w:rsidRPr="00000000">
        <w:rPr>
          <w:rtl w:val="0"/>
        </w:rPr>
        <w:t xml:space="preserve">electronically (official REDI channels),</w:t>
      </w:r>
    </w:p>
    <w:p w:rsidR="00000000" w:rsidDel="00000000" w:rsidP="00000000" w:rsidRDefault="00000000" w:rsidRPr="00000000" w14:paraId="0000001E">
      <w:pPr>
        <w:numPr>
          <w:ilvl w:val="0"/>
          <w:numId w:val="3"/>
        </w:numPr>
        <w:ind w:left="1440" w:hanging="360"/>
        <w:rPr/>
      </w:pPr>
      <w:r w:rsidDel="00000000" w:rsidR="00000000" w:rsidRPr="00000000">
        <w:rPr>
          <w:rtl w:val="0"/>
        </w:rPr>
        <w:t xml:space="preserve">in writing or verbally, with registration and confirmation of receipt.</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4"/>
        </w:numPr>
        <w:ind w:left="720" w:hanging="360"/>
        <w:rPr/>
      </w:pPr>
      <w:r w:rsidDel="00000000" w:rsidR="00000000" w:rsidRPr="00000000">
        <w:rPr>
          <w:b w:val="1"/>
          <w:bCs w:val="1"/>
          <w:rtl w:val="0"/>
        </w:rPr>
        <w:t xml:space="preserve">Content of the Report</w:t>
      </w:r>
      <w:r w:rsidDel="00000000" w:rsidR="00000000" w:rsidRPr="00000000">
        <w:rPr>
          <w:rtl w:val="0"/>
        </w:rPr>
        <w:br w:type="textWrapping"/>
        <w:t xml:space="preserve">The report should include:</w:t>
      </w:r>
    </w:p>
    <w:p w:rsidR="00000000" w:rsidDel="00000000" w:rsidP="00000000" w:rsidRDefault="00000000" w:rsidRPr="00000000" w14:paraId="00000021">
      <w:pPr>
        <w:numPr>
          <w:ilvl w:val="0"/>
          <w:numId w:val="5"/>
        </w:numPr>
        <w:ind w:left="1440" w:hanging="360"/>
        <w:rPr/>
      </w:pPr>
      <w:r w:rsidDel="00000000" w:rsidR="00000000" w:rsidRPr="00000000">
        <w:rPr>
          <w:rtl w:val="0"/>
        </w:rPr>
        <w:t xml:space="preserve">the whistleblower’s name and contact details (unless anonymity is requested),</w:t>
      </w:r>
    </w:p>
    <w:p w:rsidR="00000000" w:rsidDel="00000000" w:rsidP="00000000" w:rsidRDefault="00000000" w:rsidRPr="00000000" w14:paraId="00000022">
      <w:pPr>
        <w:numPr>
          <w:ilvl w:val="0"/>
          <w:numId w:val="5"/>
        </w:numPr>
        <w:ind w:left="1440" w:hanging="360"/>
        <w:rPr/>
      </w:pPr>
      <w:r w:rsidDel="00000000" w:rsidR="00000000" w:rsidRPr="00000000">
        <w:rPr>
          <w:rtl w:val="0"/>
        </w:rPr>
        <w:t xml:space="preserve">a description of the event/irregularity,</w:t>
      </w:r>
    </w:p>
    <w:p w:rsidR="00000000" w:rsidDel="00000000" w:rsidP="00000000" w:rsidRDefault="00000000" w:rsidRPr="00000000" w14:paraId="00000023">
      <w:pPr>
        <w:numPr>
          <w:ilvl w:val="0"/>
          <w:numId w:val="5"/>
        </w:numPr>
        <w:ind w:left="1440" w:hanging="360"/>
        <w:rPr/>
      </w:pPr>
      <w:r w:rsidDel="00000000" w:rsidR="00000000" w:rsidRPr="00000000">
        <w:rPr>
          <w:rtl w:val="0"/>
        </w:rPr>
        <w:t xml:space="preserve">time and place of the event,</w:t>
      </w:r>
    </w:p>
    <w:p w:rsidR="00000000" w:rsidDel="00000000" w:rsidP="00000000" w:rsidRDefault="00000000" w:rsidRPr="00000000" w14:paraId="00000024">
      <w:pPr>
        <w:numPr>
          <w:ilvl w:val="0"/>
          <w:numId w:val="5"/>
        </w:numPr>
        <w:ind w:left="1440" w:hanging="360"/>
        <w:rPr/>
      </w:pPr>
      <w:r w:rsidDel="00000000" w:rsidR="00000000" w:rsidRPr="00000000">
        <w:rPr>
          <w:rtl w:val="0"/>
        </w:rPr>
        <w:t xml:space="preserve">evidence or witnesses, if any.</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6"/>
        </w:numPr>
        <w:ind w:left="720" w:hanging="360"/>
        <w:rPr/>
      </w:pPr>
      <w:r w:rsidDel="00000000" w:rsidR="00000000" w:rsidRPr="00000000">
        <w:rPr>
          <w:b w:val="1"/>
          <w:bCs w:val="1"/>
          <w:rtl w:val="0"/>
        </w:rPr>
        <w:t xml:space="preserve">Confidentiality and Anonymity</w:t>
        <w:br w:type="textWrapping"/>
      </w:r>
      <w:r w:rsidDel="00000000" w:rsidR="00000000" w:rsidRPr="00000000">
        <w:rPr>
          <w:rtl w:val="0"/>
        </w:rPr>
        <w:t xml:space="preserve">REDI respects Article 26 of the Act, which requires protection of the whistleblower’s identity. The whistleblower may remain anonymous or request confidentiality. All data are kept in accordance with data protection regulations.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6"/>
        </w:numPr>
        <w:ind w:left="720" w:hanging="360"/>
        <w:rPr>
          <w:b w:val="1"/>
          <w:bCs w:val="1"/>
        </w:rPr>
      </w:pPr>
      <w:r w:rsidDel="00000000" w:rsidR="00000000" w:rsidRPr="00000000">
        <w:rPr>
          <w:b w:val="1"/>
          <w:bCs w:val="1"/>
          <w:rtl w:val="0"/>
        </w:rPr>
        <w:t xml:space="preserve">Procedure for Receipt and Processing of Reports</w:t>
      </w:r>
    </w:p>
    <w:p w:rsidR="00000000" w:rsidDel="00000000" w:rsidP="00000000" w:rsidRDefault="00000000" w:rsidRPr="00000000" w14:paraId="0000002C">
      <w:pPr>
        <w:numPr>
          <w:ilvl w:val="0"/>
          <w:numId w:val="7"/>
        </w:numPr>
        <w:ind w:left="1440" w:hanging="360"/>
        <w:rPr/>
      </w:pPr>
      <w:r w:rsidDel="00000000" w:rsidR="00000000" w:rsidRPr="00000000">
        <w:rPr>
          <w:rtl w:val="0"/>
        </w:rPr>
        <w:t xml:space="preserve">The report is recorded and assigned an identification number.</w:t>
      </w:r>
    </w:p>
    <w:p w:rsidR="00000000" w:rsidDel="00000000" w:rsidP="00000000" w:rsidRDefault="00000000" w:rsidRPr="00000000" w14:paraId="0000002D">
      <w:pPr>
        <w:numPr>
          <w:ilvl w:val="0"/>
          <w:numId w:val="7"/>
        </w:numPr>
        <w:ind w:left="1440" w:hanging="360"/>
        <w:rPr/>
      </w:pPr>
      <w:r w:rsidDel="00000000" w:rsidR="00000000" w:rsidRPr="00000000">
        <w:rPr>
          <w:rtl w:val="0"/>
        </w:rPr>
        <w:t xml:space="preserve">Confirmation of receipt is provided within 5 working days.</w:t>
      </w:r>
    </w:p>
    <w:p w:rsidR="00000000" w:rsidDel="00000000" w:rsidP="00000000" w:rsidRDefault="00000000" w:rsidRPr="00000000" w14:paraId="0000002E">
      <w:pPr>
        <w:numPr>
          <w:ilvl w:val="0"/>
          <w:numId w:val="7"/>
        </w:numPr>
        <w:ind w:left="1440" w:hanging="360"/>
        <w:rPr/>
      </w:pPr>
      <w:r w:rsidDel="00000000" w:rsidR="00000000" w:rsidRPr="00000000">
        <w:rPr>
          <w:rtl w:val="0"/>
        </w:rPr>
        <w:t xml:space="preserve">In urgent cases, temporary protective measures may be taken.</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8"/>
        </w:numPr>
        <w:ind w:left="720" w:hanging="360"/>
        <w:rPr>
          <w:b w:val="1"/>
          <w:bCs w:val="1"/>
        </w:rPr>
      </w:pPr>
      <w:r w:rsidDel="00000000" w:rsidR="00000000" w:rsidRPr="00000000">
        <w:rPr>
          <w:b w:val="1"/>
          <w:bCs w:val="1"/>
          <w:rtl w:val="0"/>
        </w:rPr>
        <w:t xml:space="preserve">Investigation and Decision</w:t>
      </w:r>
    </w:p>
    <w:p w:rsidR="00000000" w:rsidDel="00000000" w:rsidP="00000000" w:rsidRDefault="00000000" w:rsidRPr="00000000" w14:paraId="00000031">
      <w:pPr>
        <w:numPr>
          <w:ilvl w:val="0"/>
          <w:numId w:val="9"/>
        </w:numPr>
        <w:ind w:left="1440" w:hanging="360"/>
        <w:rPr/>
      </w:pPr>
      <w:r w:rsidDel="00000000" w:rsidR="00000000" w:rsidRPr="00000000">
        <w:rPr>
          <w:rtl w:val="0"/>
        </w:rPr>
        <w:t xml:space="preserve">REDI’s investigative team conducts verification in accordance with principles of impartiality.</w:t>
      </w:r>
    </w:p>
    <w:p w:rsidR="00000000" w:rsidDel="00000000" w:rsidP="00000000" w:rsidRDefault="00000000" w:rsidRPr="00000000" w14:paraId="00000032">
      <w:pPr>
        <w:numPr>
          <w:ilvl w:val="0"/>
          <w:numId w:val="9"/>
        </w:numPr>
        <w:ind w:left="1440" w:hanging="360"/>
        <w:rPr/>
      </w:pPr>
      <w:r w:rsidDel="00000000" w:rsidR="00000000" w:rsidRPr="00000000">
        <w:rPr>
          <w:rtl w:val="0"/>
        </w:rPr>
        <w:t xml:space="preserve">Upon conclusion of the procedure, the whistleblower receives feedback in accordance with Article 19 of the Act.</w:t>
      </w:r>
    </w:p>
    <w:p w:rsidR="00000000" w:rsidDel="00000000" w:rsidP="00000000" w:rsidRDefault="00000000" w:rsidRPr="00000000" w14:paraId="00000033">
      <w:pPr>
        <w:numPr>
          <w:ilvl w:val="0"/>
          <w:numId w:val="9"/>
        </w:numPr>
        <w:ind w:left="1440" w:hanging="360"/>
        <w:rPr/>
      </w:pPr>
      <w:r w:rsidDel="00000000" w:rsidR="00000000" w:rsidRPr="00000000">
        <w:rPr>
          <w:rtl w:val="0"/>
        </w:rPr>
        <w:t xml:space="preserve">Established irregularities are sanctioned in accordance with internal acts and applicable regulations.</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10"/>
        </w:numPr>
        <w:ind w:left="720" w:hanging="360"/>
        <w:rPr/>
      </w:pPr>
      <w:r w:rsidDel="00000000" w:rsidR="00000000" w:rsidRPr="00000000">
        <w:rPr>
          <w:b w:val="1"/>
          <w:bCs w:val="1"/>
          <w:rtl w:val="0"/>
        </w:rPr>
        <w:t xml:space="preserve">Recordkeeping and Reporting</w:t>
      </w:r>
      <w:r w:rsidDel="00000000" w:rsidR="00000000" w:rsidRPr="00000000">
        <w:rPr>
          <w:rtl w:val="0"/>
        </w:rPr>
        <w:br w:type="textWrapping"/>
        <w:t xml:space="preserve">REDI maintains a register of whistleblowing reports and reports to donors in accordance with PRAG and DG ENEST rules, while respecting confidentiality.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Hereby I confirm that I have read and understood the above procedure: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Name and Surname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Signature</w:t>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-761998</wp:posOffset>
          </wp:positionH>
          <wp:positionV relativeFrom="paragraph">
            <wp:posOffset>-2623818</wp:posOffset>
          </wp:positionV>
          <wp:extent cx="7562850" cy="3092450"/>
          <wp:effectExtent b="0" l="0" r="0" t="0"/>
          <wp:wrapNone/>
          <wp:docPr descr="A green and white flag&#10;&#10;AI-generated content may be incorrect." id="1403671635" name="image3.png"/>
          <a:graphic>
            <a:graphicData uri="http://schemas.openxmlformats.org/drawingml/2006/picture">
              <pic:pic>
                <pic:nvPicPr>
                  <pic:cNvPr descr="A green and white flag&#10;&#10;AI-generated content may be incorrect." id="0" name="image3.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44">
    <w:pPr>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2">
    <w:lvl w:ilvl="0">
      <w:start w:val="3"/>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4">
    <w:lvl w:ilvl="0">
      <w:start w:val="5"/>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6">
    <w:lvl w:ilvl="0">
      <w:start w:val="6"/>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8">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0">
    <w:lvl w:ilvl="0">
      <w:start w:val="10"/>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
      </w:numPr>
      <w:spacing w:after="200" w:line="276" w:lineRule="auto"/>
      <w:contextualSpacing w:val="1"/>
    </w:pPr>
    <w:rPr>
      <w:rFonts w:ascii="Cambria" w:cs="Cambria" w:eastAsia="Cambria" w:hAnsi="Cambria"/>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6RgTmx9RA1+7vM/2p1z9n5kzQ==">CgMxLjAyCWlkLmdqZGd4czgAciExN0J0WUNKOWtxY2lWZUZBTHFmaTNKenF5MU11MFZud2U=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2025-11-06T14:43:00Z</dcterms:created>
  <dc:creator>Windows User</dc:creator>
</cp:coreProperties>
</file>