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850" cy="2590800"/>
            <wp:effectExtent b="0" l="0" r="0" t="0"/>
            <wp:wrapNone/>
            <wp:docPr id="140367163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590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3414395</wp:posOffset>
            </wp:positionH>
            <wp:positionV relativeFrom="paragraph">
              <wp:posOffset>-370836</wp:posOffset>
            </wp:positionV>
            <wp:extent cx="1646007" cy="365760"/>
            <wp:effectExtent b="0" l="0" r="0" t="0"/>
            <wp:wrapNone/>
            <wp:docPr descr="Blue text on a black background&#10;&#10;Description automatically generated" id="1403671638" name="image3.png"/>
            <a:graphic>
              <a:graphicData uri="http://schemas.openxmlformats.org/drawingml/2006/picture">
                <pic:pic>
                  <pic:nvPicPr>
                    <pic:cNvPr descr="Blue text on a black background&#10;&#10;Description automatically generated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6007" cy="365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0" w:bottomFromText="0" w:vertAnchor="text" w:horzAnchor="text" w:tblpX="0" w:tblpY="51"/>
        <w:tblW w:w="9520.0" w:type="dxa"/>
        <w:jc w:val="left"/>
        <w:tblLayout w:type="fixed"/>
        <w:tblLook w:val="0400"/>
      </w:tblPr>
      <w:tblGrid>
        <w:gridCol w:w="7110"/>
        <w:gridCol w:w="2410"/>
        <w:tblGridChange w:id="0">
          <w:tblGrid>
            <w:gridCol w:w="7110"/>
            <w:gridCol w:w="2410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EU podrška REDI inicijativi, faza II: Unaprjeđenje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romskog preduzetništva na Zapadnom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Balkanu i u Turskoj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REDI bespovratna finansijska sredstva namijenjena podršci formalnom zapošljavanju Roma i Egipćana u Crnoj Gori</w:t>
      </w:r>
    </w:p>
    <w:p w:rsidR="00000000" w:rsidDel="00000000" w:rsidP="00000000" w:rsidRDefault="00000000" w:rsidRPr="00000000" w14:paraId="0000000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Protokol o uzbunjivanju i zaštiti uzbunjivača</w:t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Predmet Protokola</w:t>
      </w:r>
    </w:p>
    <w:p w:rsidR="00000000" w:rsidDel="00000000" w:rsidP="00000000" w:rsidRDefault="00000000" w:rsidRPr="00000000" w14:paraId="00000014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Ovaj protokol reguliše postupak uzbunjivanja i zaštitu uzbunjivača u okviru programa dodjele bespovratnih sredstava, u skladu sa Zakonom o zaštiti uzbunjivača Crne Gore („Službeni list CG“, br. 60/2018), u daljem tekstu Zakon, kao i internim procedurama REDI-ja i politikama Evropske unije</w:t>
      </w:r>
      <w:r w:rsidDel="00000000" w:rsidR="00000000" w:rsidRPr="00000000">
        <w:rPr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Definicije pojmova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Uzbunjivač: lice koje u dobroj vjeri prijavljuje informacije o nezakonitom, neetičkom ili štetnom postupanju, u skladu sa članom 2 Zakona.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Uzbunjivanje: čin prijavljivanja informacija o ugrožavanju javnog interesa, zloupotrebi sredstava, korupciji, diskriminaciji ili drugim nepravilnostima.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Odmazda: svaka radnja kojom se uzbunjivaču nanosi šteta zbog izvršenog uzbunjivanja (član 6 Zakona).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Pravo na uzbunjivanje i zabrana odmazde</w:t>
      </w:r>
      <w:r w:rsidDel="00000000" w:rsidR="00000000" w:rsidRPr="00000000">
        <w:rPr>
          <w:rtl w:val="0"/>
        </w:rPr>
        <w:br w:type="textWrapping"/>
        <w:t xml:space="preserve">REDI garantuje pravo na uzbunjivanje bez straha od odmazde. Svako lice ima pravo da podnese prijavu, a svaka odmazda je zabranjena i kažnjiva u skladu sa članom 6 Zakona.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Kanali za prijavljivanje</w:t>
      </w:r>
      <w:r w:rsidDel="00000000" w:rsidR="00000000" w:rsidRPr="00000000">
        <w:rPr>
          <w:rtl w:val="0"/>
        </w:rPr>
        <w:br w:type="textWrapping"/>
        <w:t xml:space="preserve">Uzbunjivanje se može vršiti: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interno u okviru organizacije (član 13 Zakona),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elektronskim putem (zvanični REDI kanali),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pisanim ili usmenim putem, uz registraciju i potvrdu o prijemu.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Sadržaj prijave</w:t>
      </w:r>
      <w:r w:rsidDel="00000000" w:rsidR="00000000" w:rsidRPr="00000000">
        <w:rPr>
          <w:rtl w:val="0"/>
        </w:rPr>
        <w:br w:type="textWrapping"/>
        <w:t xml:space="preserve">Prijava treba da sadrži: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ind w:left="1440" w:hanging="360"/>
        <w:rPr/>
      </w:pPr>
      <w:r w:rsidDel="00000000" w:rsidR="00000000" w:rsidRPr="00000000">
        <w:rPr>
          <w:rtl w:val="0"/>
        </w:rPr>
        <w:t xml:space="preserve">ime i kontakt podatke uzbunjivača (osim ako se zahtijeva anonimnost),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ind w:left="1440" w:hanging="360"/>
        <w:rPr/>
      </w:pPr>
      <w:r w:rsidDel="00000000" w:rsidR="00000000" w:rsidRPr="00000000">
        <w:rPr>
          <w:rtl w:val="0"/>
        </w:rPr>
        <w:t xml:space="preserve">opis događaja/nepravilnosti,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ind w:left="1440" w:hanging="360"/>
        <w:rPr/>
      </w:pPr>
      <w:r w:rsidDel="00000000" w:rsidR="00000000" w:rsidRPr="00000000">
        <w:rPr>
          <w:rtl w:val="0"/>
        </w:rPr>
        <w:t xml:space="preserve">vrijeme i mjesto događaja,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1440" w:hanging="360"/>
        <w:rPr/>
      </w:pPr>
      <w:r w:rsidDel="00000000" w:rsidR="00000000" w:rsidRPr="00000000">
        <w:rPr>
          <w:rtl w:val="0"/>
        </w:rPr>
        <w:t xml:space="preserve">dokaze ili svjedoke, ukoliko postoje.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Povjerljivost i anonimnost</w:t>
        <w:br w:type="textWrapping"/>
      </w:r>
      <w:r w:rsidDel="00000000" w:rsidR="00000000" w:rsidRPr="00000000">
        <w:rPr>
          <w:rtl w:val="0"/>
        </w:rPr>
        <w:t xml:space="preserve">REDI poštuje član 26 Zakona koji zahtijeva zaštitu identiteta uzbunjivača. Uzbunjivač može ostati anoniman ili zahtijevati povjerljivost. Svi podaci se čuvaju u skladu sa propisima o zaštiti podataka.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Postupak prijema i obrade prijava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ind w:left="1440" w:hanging="360"/>
        <w:rPr/>
      </w:pPr>
      <w:r w:rsidDel="00000000" w:rsidR="00000000" w:rsidRPr="00000000">
        <w:rPr>
          <w:rtl w:val="0"/>
        </w:rPr>
        <w:t xml:space="preserve">Prijava se evidentira i dodjeljuje joj se identifikacioni broj.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ind w:left="1440" w:hanging="360"/>
        <w:rPr/>
      </w:pPr>
      <w:r w:rsidDel="00000000" w:rsidR="00000000" w:rsidRPr="00000000">
        <w:rPr>
          <w:rtl w:val="0"/>
        </w:rPr>
        <w:t xml:space="preserve">Potvrda o prijemu se dostavlja u roku od 5 radnih dana.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ind w:left="1440" w:hanging="360"/>
        <w:rPr/>
      </w:pPr>
      <w:r w:rsidDel="00000000" w:rsidR="00000000" w:rsidRPr="00000000">
        <w:rPr>
          <w:rtl w:val="0"/>
        </w:rPr>
        <w:t xml:space="preserve">U hitnim slučajevima mogu se preduzeti privremene mjere zaštite.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Istraga i odluka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ind w:left="1440" w:hanging="360"/>
        <w:rPr/>
      </w:pPr>
      <w:r w:rsidDel="00000000" w:rsidR="00000000" w:rsidRPr="00000000">
        <w:rPr>
          <w:rtl w:val="0"/>
        </w:rPr>
        <w:t xml:space="preserve">REDI istražni tim sprovodi provjeru u skladu sa principima nepristrasnosti. 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ind w:left="1440" w:hanging="360"/>
        <w:rPr/>
      </w:pPr>
      <w:r w:rsidDel="00000000" w:rsidR="00000000" w:rsidRPr="00000000">
        <w:rPr>
          <w:rtl w:val="0"/>
        </w:rPr>
        <w:t xml:space="preserve">Po završetku postupka, uzbunjivač dobija povratnu informaciju u skladu sa članom 19 Zakona. 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ind w:left="1440" w:hanging="360"/>
        <w:rPr/>
      </w:pPr>
      <w:r w:rsidDel="00000000" w:rsidR="00000000" w:rsidRPr="00000000">
        <w:rPr>
          <w:rtl w:val="0"/>
        </w:rPr>
        <w:t xml:space="preserve">Utvrđene nepravilnosti se sankcionišu u skladu sa internim aktima i važećim propisima.</w:t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Evidencija i izvještavanje</w:t>
      </w:r>
      <w:r w:rsidDel="00000000" w:rsidR="00000000" w:rsidRPr="00000000">
        <w:rPr>
          <w:rtl w:val="0"/>
        </w:rPr>
        <w:br w:type="textWrapping"/>
        <w:t xml:space="preserve">REDI vodi registar prijava o uzbunjivanju i izvještava donatore u skladu sa PRAG i DG ENEST pravilima, uz poštovanje povjerljivosti.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Ovim potvrđujem da sam pročitao/la i razumio/la gore navedenu proceduru: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Datum: 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Ime i prezime: _________________________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Potpis: _________________________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5" w:w="11920" w:orient="portrait"/>
      <w:pgMar w:bottom="869" w:top="1440" w:left="1200" w:right="121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-761997</wp:posOffset>
          </wp:positionH>
          <wp:positionV relativeFrom="paragraph">
            <wp:posOffset>-2623817</wp:posOffset>
          </wp:positionV>
          <wp:extent cx="7562850" cy="3092450"/>
          <wp:effectExtent b="0" l="0" r="0" t="0"/>
          <wp:wrapNone/>
          <wp:docPr descr="A green and white flag&#10;&#10;AI-generated content may be incorrect." id="1403671637" name="image1.png"/>
          <a:graphic>
            <a:graphicData uri="http://schemas.openxmlformats.org/drawingml/2006/picture">
              <pic:pic>
                <pic:nvPicPr>
                  <pic:cNvPr descr="A green and white flag&#10;&#10;AI-generated content may be incorrect." id="0" name="image1.png"/>
                  <pic:cNvPicPr preferRelativeResize="0"/>
                </pic:nvPicPr>
                <pic:blipFill>
                  <a:blip r:embed="rId1"/>
                  <a:srcRect b="-2364" l="13770" r="0" t="2260"/>
                  <a:stretch>
                    <a:fillRect/>
                  </a:stretch>
                </pic:blipFill>
                <pic:spPr>
                  <a:xfrm>
                    <a:off x="0" y="0"/>
                    <a:ext cx="7562850" cy="3092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0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3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5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6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8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7A2E"/>
  </w:style>
  <w:style w:type="paragraph" w:styleId="Footer">
    <w:name w:val="footer"/>
    <w:basedOn w:val="Normal"/>
    <w:link w:val="Foot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7A2E"/>
  </w:style>
  <w:style w:type="table" w:styleId="1" w:customStyle="1">
    <w:name w:val="1"/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C36A0F"/>
    <w:pPr>
      <w:ind w:left="720"/>
      <w:contextualSpacing w:val="1"/>
    </w:pPr>
  </w:style>
  <w:style w:type="paragraph" w:styleId="ListBullet">
    <w:name w:val="List Bullet"/>
    <w:basedOn w:val="Normal"/>
    <w:uiPriority w:val="99"/>
    <w:unhideWhenUsed w:val="1"/>
    <w:rsid w:val="001834F2"/>
    <w:pPr>
      <w:numPr>
        <w:numId w:val="2"/>
      </w:numPr>
      <w:spacing w:after="200" w:line="276" w:lineRule="auto"/>
      <w:contextualSpacing w:val="1"/>
    </w:pPr>
    <w:rPr>
      <w:rFonts w:ascii="Cambria" w:cs="Cambria" w:eastAsia="Cambria" w:hAnsi="Cambria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60wyp8MRz+4/w3Hev55CcL+jA==">CgMxLjAyCWlkLmdqZGd4czgAciExSVJvVVB1UXFaZnV0UnZFaVdMUlBTbmlDbFZhU3BGZ3E=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2025-11-06T14:43:00Z</dcterms:created>
  <dc:creator>Windows User</dc:creator>
</cp:coreProperties>
</file>