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sz w:val="24"/>
          <w:szCs w:val="24"/>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2850" cy="2590800"/>
            <wp:effectExtent b="0" l="0" r="0" t="0"/>
            <wp:wrapNone/>
            <wp:docPr id="140367163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62850" cy="2590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3414395</wp:posOffset>
            </wp:positionH>
            <wp:positionV relativeFrom="paragraph">
              <wp:posOffset>-370836</wp:posOffset>
            </wp:positionV>
            <wp:extent cx="1646007" cy="365760"/>
            <wp:effectExtent b="0" l="0" r="0" t="0"/>
            <wp:wrapNone/>
            <wp:docPr descr="Blue text on a black background&#10;&#10;Description automatically generated" id="1403671638" name="image3.png"/>
            <a:graphic>
              <a:graphicData uri="http://schemas.openxmlformats.org/drawingml/2006/picture">
                <pic:pic>
                  <pic:nvPicPr>
                    <pic:cNvPr descr="Blue text on a black background&#10;&#10;Description automatically generated" id="0" name="image3.png"/>
                    <pic:cNvPicPr preferRelativeResize="0"/>
                  </pic:nvPicPr>
                  <pic:blipFill>
                    <a:blip r:embed="rId8"/>
                    <a:srcRect b="0" l="0" r="0" t="0"/>
                    <a:stretch>
                      <a:fillRect/>
                    </a:stretch>
                  </pic:blipFill>
                  <pic:spPr>
                    <a:xfrm>
                      <a:off x="0" y="0"/>
                      <a:ext cx="1646007" cy="365760"/>
                    </a:xfrm>
                    <a:prstGeom prst="rect"/>
                    <a:ln/>
                  </pic:spPr>
                </pic:pic>
              </a:graphicData>
            </a:graphic>
          </wp:anchor>
        </w:drawing>
      </w:r>
    </w:p>
    <w:tbl>
      <w:tblPr>
        <w:tblStyle w:val="Table1"/>
        <w:tblpPr w:leftFromText="180" w:rightFromText="180" w:topFromText="0" w:bottomFromText="0" w:vertAnchor="text" w:horzAnchor="text" w:tblpX="0" w:tblpY="51"/>
        <w:tblW w:w="9520.0" w:type="dxa"/>
        <w:jc w:val="left"/>
        <w:tblLayout w:type="fixed"/>
        <w:tblLook w:val="0400"/>
      </w:tblPr>
      <w:tblGrid>
        <w:gridCol w:w="7110"/>
        <w:gridCol w:w="2410"/>
        <w:tblGridChange w:id="0">
          <w:tblGrid>
            <w:gridCol w:w="7110"/>
            <w:gridCol w:w="2410"/>
          </w:tblGrid>
        </w:tblGridChange>
      </w:tblGrid>
      <w:tr>
        <w:trPr>
          <w:cantSplit w:val="0"/>
          <w:trHeight w:val="347" w:hRule="atLeast"/>
          <w:tblHeader w:val="0"/>
        </w:trPr>
        <w:tc>
          <w:tcPr>
            <w:vAlign w:val="bottom"/>
          </w:tcPr>
          <w:p w:rsidR="00000000" w:rsidDel="00000000" w:rsidP="00000000" w:rsidRDefault="00000000" w:rsidRPr="00000000" w14:paraId="00000005">
            <w:pPr>
              <w:rPr>
                <w:sz w:val="20"/>
                <w:szCs w:val="20"/>
              </w:rPr>
            </w:pPr>
            <w:r w:rsidDel="00000000" w:rsidR="00000000" w:rsidRPr="00000000">
              <w:rPr>
                <w:rFonts w:ascii="Arial" w:cs="Arial" w:eastAsia="Arial" w:hAnsi="Arial"/>
                <w:b w:val="1"/>
                <w:bCs w:val="1"/>
                <w:color w:val="272626"/>
                <w:sz w:val="26"/>
                <w:szCs w:val="26"/>
                <w:rtl w:val="0"/>
              </w:rPr>
              <w:t xml:space="preserve">EU podrška REDI inicijativi faza II: Unaprjeđenje</w:t>
            </w:r>
            <w:r w:rsidDel="00000000" w:rsidR="00000000" w:rsidRPr="00000000">
              <w:rPr>
                <w:rtl w:val="0"/>
              </w:rPr>
            </w:r>
          </w:p>
        </w:tc>
        <w:tc>
          <w:tcPr>
            <w:vAlign w:val="bottom"/>
          </w:tcPr>
          <w:p w:rsidR="00000000" w:rsidDel="00000000" w:rsidP="00000000" w:rsidRDefault="00000000" w:rsidRPr="00000000" w14:paraId="00000006">
            <w:pPr>
              <w:jc w:val="center"/>
              <w:rPr>
                <w:sz w:val="20"/>
                <w:szCs w:val="20"/>
              </w:rPr>
            </w:pPr>
            <w:r w:rsidDel="00000000" w:rsidR="00000000" w:rsidRPr="00000000">
              <w:rPr>
                <w:rtl w:val="0"/>
              </w:rPr>
            </w:r>
          </w:p>
        </w:tc>
      </w:tr>
      <w:tr>
        <w:trPr>
          <w:cantSplit w:val="0"/>
          <w:trHeight w:val="333" w:hRule="atLeast"/>
          <w:tblHeader w:val="0"/>
        </w:trPr>
        <w:tc>
          <w:tcPr>
            <w:vAlign w:val="bottom"/>
          </w:tcPr>
          <w:p w:rsidR="00000000" w:rsidDel="00000000" w:rsidP="00000000" w:rsidRDefault="00000000" w:rsidRPr="00000000" w14:paraId="00000007">
            <w:pPr>
              <w:rPr>
                <w:sz w:val="20"/>
                <w:szCs w:val="20"/>
              </w:rPr>
            </w:pPr>
            <w:r w:rsidDel="00000000" w:rsidR="00000000" w:rsidRPr="00000000">
              <w:rPr>
                <w:rFonts w:ascii="Arial" w:cs="Arial" w:eastAsia="Arial" w:hAnsi="Arial"/>
                <w:b w:val="1"/>
                <w:bCs w:val="1"/>
                <w:color w:val="272626"/>
                <w:sz w:val="26"/>
                <w:szCs w:val="26"/>
                <w:rtl w:val="0"/>
              </w:rPr>
              <w:t xml:space="preserve">romskog preduzetništva na Zapadnom</w:t>
            </w:r>
            <w:r w:rsidDel="00000000" w:rsidR="00000000" w:rsidRPr="00000000">
              <w:rPr>
                <w:rtl w:val="0"/>
              </w:rPr>
            </w:r>
          </w:p>
        </w:tc>
        <w:tc>
          <w:tcPr>
            <w:vAlign w:val="bottom"/>
          </w:tcPr>
          <w:p w:rsidR="00000000" w:rsidDel="00000000" w:rsidP="00000000" w:rsidRDefault="00000000" w:rsidRPr="00000000" w14:paraId="00000008">
            <w:pPr>
              <w:rPr>
                <w:sz w:val="20"/>
                <w:szCs w:val="20"/>
              </w:rPr>
            </w:pPr>
            <w:r w:rsidDel="00000000" w:rsidR="00000000" w:rsidRPr="00000000">
              <w:rPr>
                <w:rtl w:val="0"/>
              </w:rPr>
            </w:r>
          </w:p>
        </w:tc>
      </w:tr>
      <w:tr>
        <w:trPr>
          <w:cantSplit w:val="0"/>
          <w:trHeight w:val="360" w:hRule="atLeast"/>
          <w:tblHeader w:val="0"/>
        </w:trPr>
        <w:tc>
          <w:tcPr>
            <w:vAlign w:val="bottom"/>
          </w:tcPr>
          <w:p w:rsidR="00000000" w:rsidDel="00000000" w:rsidP="00000000" w:rsidRDefault="00000000" w:rsidRPr="00000000" w14:paraId="00000009">
            <w:pPr>
              <w:rPr>
                <w:sz w:val="20"/>
                <w:szCs w:val="20"/>
              </w:rPr>
            </w:pPr>
            <w:r w:rsidDel="00000000" w:rsidR="00000000" w:rsidRPr="00000000">
              <w:rPr>
                <w:rFonts w:ascii="Arial" w:cs="Arial" w:eastAsia="Arial" w:hAnsi="Arial"/>
                <w:b w:val="1"/>
                <w:bCs w:val="1"/>
                <w:color w:val="272626"/>
                <w:sz w:val="26"/>
                <w:szCs w:val="26"/>
                <w:rtl w:val="0"/>
              </w:rPr>
              <w:t xml:space="preserve">Balkanu i u Turskoj</w:t>
            </w:r>
            <w:r w:rsidDel="00000000" w:rsidR="00000000" w:rsidRPr="00000000">
              <w:rPr>
                <w:rtl w:val="0"/>
              </w:rPr>
            </w:r>
          </w:p>
        </w:tc>
        <w:tc>
          <w:tcPr>
            <w:vAlign w:val="bottom"/>
          </w:tcPr>
          <w:p w:rsidR="00000000" w:rsidDel="00000000" w:rsidP="00000000" w:rsidRDefault="00000000" w:rsidRPr="00000000" w14:paraId="0000000A">
            <w:pPr>
              <w:rPr>
                <w:sz w:val="24"/>
                <w:szCs w:val="24"/>
              </w:rPr>
            </w:pPr>
            <w:r w:rsidDel="00000000" w:rsidR="00000000" w:rsidRPr="00000000">
              <w:rPr>
                <w:rtl w:val="0"/>
              </w:rPr>
            </w:r>
          </w:p>
        </w:tc>
      </w:tr>
    </w:tbl>
    <w:p w:rsidR="00000000" w:rsidDel="00000000" w:rsidP="00000000" w:rsidRDefault="00000000" w:rsidRPr="00000000" w14:paraId="0000000B">
      <w:pPr>
        <w:spacing w:line="200" w:lineRule="auto"/>
        <w:rPr>
          <w:sz w:val="24"/>
          <w:szCs w:val="24"/>
        </w:rPr>
      </w:pPr>
      <w:r w:rsidDel="00000000" w:rsidR="00000000" w:rsidRPr="00000000">
        <w:rPr>
          <w:rtl w:val="0"/>
        </w:rPr>
      </w:r>
    </w:p>
    <w:p w:rsidR="00000000" w:rsidDel="00000000" w:rsidP="00000000" w:rsidRDefault="00000000" w:rsidRPr="00000000" w14:paraId="0000000C">
      <w:pPr>
        <w:spacing w:line="200" w:lineRule="auto"/>
        <w:rPr>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jc w:val="center"/>
        <w:rPr>
          <w:b w:val="1"/>
          <w:bCs w:val="1"/>
          <w:sz w:val="28"/>
          <w:szCs w:val="28"/>
        </w:rPr>
      </w:pPr>
      <w:r w:rsidDel="00000000" w:rsidR="00000000" w:rsidRPr="00000000">
        <w:rPr>
          <w:b w:val="1"/>
          <w:bCs w:val="1"/>
          <w:sz w:val="28"/>
          <w:szCs w:val="28"/>
          <w:rtl w:val="0"/>
        </w:rPr>
        <w:t xml:space="preserve">REDI bespovratna finansijska sredstva namijenjena podršci formalnom zapošljavanju Roma i Egipćana u Crnoj Gori</w:t>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b w:val="1"/>
          <w:bCs w:val="1"/>
          <w:rtl w:val="0"/>
        </w:rPr>
        <w:t xml:space="preserve">Smjernice o etičkom postupanju</w:t>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b w:val="1"/>
          <w:bCs w:val="1"/>
          <w:rtl w:val="0"/>
        </w:rPr>
        <w:t xml:space="preserve">Opšte odredbe i svrha dokumenta</w:t>
      </w:r>
      <w:r w:rsidDel="00000000" w:rsidR="00000000" w:rsidRPr="00000000">
        <w:rPr>
          <w:rtl w:val="0"/>
        </w:rPr>
        <w:br w:type="textWrapping"/>
        <w:t xml:space="preserve">Ove Smjernice o etičkom postupanju utvrđuju vrijednosti, principe i detaljna pravila koja obavezuju sve učesnike u programu — zaposlene, članove odbora, eksperte, vanjske saradnike, volontere i krajnje korisnike grantova — na poštovanje najviših etičkih i pravnih standarda. Poštovanje ovih smjernica je uslov za zapošljavanje, saradnju i primanje podrške u okviru programa grantova. Potreba za snažnim etičkim okvirom proizilazi iz javne prirode rada, dodjele sredstava i rizika od sukoba interesa i korupcije svojstvenih svakom javnom programu koji se finansira iz evropskih fondova.</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0"/>
          <w:numId w:val="2"/>
        </w:numPr>
        <w:ind w:left="720" w:hanging="360"/>
        <w:rPr/>
      </w:pPr>
      <w:r w:rsidDel="00000000" w:rsidR="00000000" w:rsidRPr="00000000">
        <w:rPr>
          <w:b w:val="1"/>
          <w:bCs w:val="1"/>
          <w:rtl w:val="0"/>
        </w:rPr>
        <w:t xml:space="preserve">Osnovni principi etičkog postupanja</w:t>
      </w:r>
      <w:r w:rsidDel="00000000" w:rsidR="00000000" w:rsidRPr="00000000">
        <w:rPr>
          <w:rtl w:val="0"/>
        </w:rPr>
        <w:br w:type="textWrapping"/>
        <w:t xml:space="preserve">Svi učesnici programa moraju se voditi sljedećim osnovama, prema prioritetu:</w:t>
      </w:r>
    </w:p>
    <w:p w:rsidR="00000000" w:rsidDel="00000000" w:rsidP="00000000" w:rsidRDefault="00000000" w:rsidRPr="00000000" w14:paraId="00000016">
      <w:pPr>
        <w:numPr>
          <w:ilvl w:val="0"/>
          <w:numId w:val="9"/>
        </w:numPr>
        <w:ind w:left="1440" w:hanging="360"/>
        <w:rPr/>
      </w:pPr>
      <w:r w:rsidDel="00000000" w:rsidR="00000000" w:rsidRPr="00000000">
        <w:rPr>
          <w:rtl w:val="0"/>
        </w:rPr>
        <w:t xml:space="preserve">Integritet: Očuvati lični i profesionalni integritet u svim radnjama i odlukama; odbiti svaki neprimjeren uticaj i osigurati istinito predstavljanje rezultata i resursa.</w:t>
      </w:r>
    </w:p>
    <w:p w:rsidR="00000000" w:rsidDel="00000000" w:rsidP="00000000" w:rsidRDefault="00000000" w:rsidRPr="00000000" w14:paraId="00000017">
      <w:pPr>
        <w:numPr>
          <w:ilvl w:val="0"/>
          <w:numId w:val="9"/>
        </w:numPr>
        <w:ind w:left="1440" w:hanging="360"/>
        <w:rPr/>
      </w:pPr>
      <w:r w:rsidDel="00000000" w:rsidR="00000000" w:rsidRPr="00000000">
        <w:rPr>
          <w:rtl w:val="0"/>
        </w:rPr>
        <w:t xml:space="preserve">Transparentnost: Raditi jasno; blagovremeno dijeliti relevantne informacije u procesima dodjele sredstava, donošenja odluka, javnih nabavki i izvještavanja.</w:t>
      </w:r>
    </w:p>
    <w:p w:rsidR="00000000" w:rsidDel="00000000" w:rsidP="00000000" w:rsidRDefault="00000000" w:rsidRPr="00000000" w14:paraId="00000018">
      <w:pPr>
        <w:numPr>
          <w:ilvl w:val="0"/>
          <w:numId w:val="9"/>
        </w:numPr>
        <w:ind w:left="1440" w:hanging="360"/>
        <w:rPr/>
      </w:pPr>
      <w:r w:rsidDel="00000000" w:rsidR="00000000" w:rsidRPr="00000000">
        <w:rPr>
          <w:rtl w:val="0"/>
        </w:rPr>
        <w:t xml:space="preserve">Inkluzija: Aktivno uključiti sva lica; zabraniti diskriminaciju po bilo kom osnovu, sa posebnim fokusom na osnaživanje žena, mladih i marginalizovanih grupa u aktivnostima programa.</w:t>
      </w:r>
    </w:p>
    <w:p w:rsidR="00000000" w:rsidDel="00000000" w:rsidP="00000000" w:rsidRDefault="00000000" w:rsidRPr="00000000" w14:paraId="00000019">
      <w:pPr>
        <w:numPr>
          <w:ilvl w:val="0"/>
          <w:numId w:val="9"/>
        </w:numPr>
        <w:ind w:left="1440" w:hanging="360"/>
        <w:rPr/>
      </w:pPr>
      <w:r w:rsidDel="00000000" w:rsidR="00000000" w:rsidRPr="00000000">
        <w:rPr>
          <w:rtl w:val="0"/>
        </w:rPr>
        <w:t xml:space="preserve">Odgovornost: Jasno prihvatiti i izvršavati dodijeljene dužnosti; biti odgovoran za namjensko korišćenje resursa i odmah reagovati na uočene nepravilnosti ili kršenja pravila.</w:t>
      </w:r>
    </w:p>
    <w:p w:rsidR="00000000" w:rsidDel="00000000" w:rsidP="00000000" w:rsidRDefault="00000000" w:rsidRPr="00000000" w14:paraId="0000001A">
      <w:pPr>
        <w:rPr/>
      </w:pPr>
      <w:r w:rsidDel="00000000" w:rsidR="00000000" w:rsidRPr="00000000">
        <w:rPr>
          <w:rtl w:val="0"/>
        </w:rPr>
        <w:t xml:space="preserve">"Svaki učesnik je lično odgovoran za primjenu ovih principa, bez obzira na poziciju, dužnosti ili nivo uključenosti u program."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0"/>
        </w:numPr>
        <w:ind w:left="720" w:hanging="360"/>
        <w:rPr>
          <w:b w:val="1"/>
          <w:bCs w:val="1"/>
        </w:rPr>
      </w:pPr>
      <w:r w:rsidDel="00000000" w:rsidR="00000000" w:rsidRPr="00000000">
        <w:rPr>
          <w:b w:val="1"/>
          <w:bCs w:val="1"/>
          <w:rtl w:val="0"/>
        </w:rPr>
        <w:t xml:space="preserve">Upravljanje sukobom interesa</w:t>
      </w:r>
    </w:p>
    <w:p w:rsidR="00000000" w:rsidDel="00000000" w:rsidP="00000000" w:rsidRDefault="00000000" w:rsidRPr="00000000" w14:paraId="0000001D">
      <w:pPr>
        <w:ind w:left="720" w:firstLine="0"/>
        <w:rPr>
          <w:b w:val="1"/>
          <w:bCs w:val="1"/>
        </w:rPr>
      </w:pPr>
      <w:r w:rsidDel="00000000" w:rsidR="00000000" w:rsidRPr="00000000">
        <w:rPr>
          <w:rtl w:val="0"/>
        </w:rPr>
      </w:r>
    </w:p>
    <w:p w:rsidR="00000000" w:rsidDel="00000000" w:rsidP="00000000" w:rsidRDefault="00000000" w:rsidRPr="00000000" w14:paraId="0000001E">
      <w:pPr>
        <w:numPr>
          <w:ilvl w:val="0"/>
          <w:numId w:val="11"/>
        </w:numPr>
        <w:ind w:left="720" w:hanging="360"/>
        <w:rPr/>
      </w:pPr>
      <w:r w:rsidDel="00000000" w:rsidR="00000000" w:rsidRPr="00000000">
        <w:rPr>
          <w:b w:val="1"/>
          <w:bCs w:val="1"/>
          <w:rtl w:val="0"/>
        </w:rPr>
        <w:t xml:space="preserve">Definicija i prepoznavanje sukoba interesa</w:t>
      </w:r>
      <w:r w:rsidDel="00000000" w:rsidR="00000000" w:rsidRPr="00000000">
        <w:rPr>
          <w:rtl w:val="0"/>
        </w:rPr>
        <w:br w:type="textWrapping"/>
        <w:t xml:space="preserve">Sukob interesa je svaka situacija u kojoj privatni interes angažovanog lica (ili lica povezanih sa njim) utiče, može uticati ili se čini da utiče na objektivnost i nepristrasnost postupanja u okviru programa, ili predstavlja zloupotrebu položaja radi lične koristi ili koristi treće strane.</w:t>
      </w:r>
    </w:p>
    <w:p w:rsidR="00000000" w:rsidDel="00000000" w:rsidP="00000000" w:rsidRDefault="00000000" w:rsidRPr="00000000" w14:paraId="0000001F">
      <w:pPr>
        <w:numPr>
          <w:ilvl w:val="0"/>
          <w:numId w:val="11"/>
        </w:numPr>
        <w:ind w:left="720" w:hanging="360"/>
        <w:rPr/>
      </w:pPr>
      <w:r w:rsidDel="00000000" w:rsidR="00000000" w:rsidRPr="00000000">
        <w:rPr>
          <w:b w:val="1"/>
          <w:bCs w:val="1"/>
          <w:rtl w:val="0"/>
        </w:rPr>
        <w:t xml:space="preserve">Objelodanjivanje i postupak</w:t>
      </w:r>
    </w:p>
    <w:p w:rsidR="00000000" w:rsidDel="00000000" w:rsidP="00000000" w:rsidRDefault="00000000" w:rsidRPr="00000000" w14:paraId="00000020">
      <w:pPr>
        <w:ind w:left="720" w:firstLine="0"/>
        <w:rPr/>
      </w:pPr>
      <w:r w:rsidDel="00000000" w:rsidR="00000000" w:rsidRPr="00000000">
        <w:rPr>
          <w:rtl w:val="0"/>
        </w:rPr>
        <w:t xml:space="preserve">Svaki član (zaposleni, povjerenik, saradnik) mora odmah i pismeno obavijestiti svog direktno nadređenog ili nadležno etičko tijelo o svakom stvarnom, potencijalnom ili prividnom sukobu interesa, najkasnije u roku od pet dana od saznanja ili u trenutku stupanja na rad. U slučaju sumnje, učešće u povezanim postupcima je zabranjeno dok se situacija sukoba jasno ne definiše i ne razriješi.</w:t>
      </w:r>
    </w:p>
    <w:p w:rsidR="00000000" w:rsidDel="00000000" w:rsidP="00000000" w:rsidRDefault="00000000" w:rsidRPr="00000000" w14:paraId="00000021">
      <w:pPr>
        <w:numPr>
          <w:ilvl w:val="0"/>
          <w:numId w:val="11"/>
        </w:numPr>
        <w:ind w:left="720" w:hanging="360"/>
        <w:rPr/>
      </w:pPr>
      <w:r w:rsidDel="00000000" w:rsidR="00000000" w:rsidRPr="00000000">
        <w:rPr>
          <w:b w:val="1"/>
          <w:bCs w:val="1"/>
          <w:rtl w:val="0"/>
        </w:rPr>
        <w:t xml:space="preserve">Mehanizmi za rješavanje sukoba</w:t>
      </w:r>
    </w:p>
    <w:p w:rsidR="00000000" w:rsidDel="00000000" w:rsidP="00000000" w:rsidRDefault="00000000" w:rsidRPr="00000000" w14:paraId="00000022">
      <w:pPr>
        <w:ind w:left="720" w:firstLine="0"/>
        <w:rPr/>
      </w:pPr>
      <w:r w:rsidDel="00000000" w:rsidR="00000000" w:rsidRPr="00000000">
        <w:rPr>
          <w:rtl w:val="0"/>
        </w:rPr>
        <w:t xml:space="preserve">Objelodanjivanje se razmatra odmah; etički komitet, ili u njegovom odsustvu tročlana ad hoc komisija, donosi preporučene mjere (izuzeće iz postupka, privremeno povlačenje, interna kontrola) koje su sve strane dužne da poštuju. Neprijavljivanje ili nerješavanje sukoba interesa smatraće se težom povredom službene dužnosti.</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2"/>
        </w:numPr>
        <w:ind w:left="720" w:hanging="360"/>
        <w:rPr>
          <w:b w:val="1"/>
          <w:bCs w:val="1"/>
        </w:rPr>
      </w:pPr>
      <w:r w:rsidDel="00000000" w:rsidR="00000000" w:rsidRPr="00000000">
        <w:rPr>
          <w:b w:val="1"/>
          <w:bCs w:val="1"/>
          <w:rtl w:val="0"/>
        </w:rPr>
        <w:t xml:space="preserve">Zabrana prihvatanja poklona i usluga</w:t>
      </w:r>
    </w:p>
    <w:p w:rsidR="00000000" w:rsidDel="00000000" w:rsidP="00000000" w:rsidRDefault="00000000" w:rsidRPr="00000000" w14:paraId="00000025">
      <w:pPr>
        <w:ind w:left="720" w:firstLine="0"/>
        <w:rPr>
          <w:b w:val="1"/>
          <w:bCs w:val="1"/>
        </w:rPr>
      </w:pPr>
      <w:r w:rsidDel="00000000" w:rsidR="00000000" w:rsidRPr="00000000">
        <w:rPr>
          <w:rtl w:val="0"/>
        </w:rPr>
      </w:r>
    </w:p>
    <w:p w:rsidR="00000000" w:rsidDel="00000000" w:rsidP="00000000" w:rsidRDefault="00000000" w:rsidRPr="00000000" w14:paraId="00000026">
      <w:pPr>
        <w:numPr>
          <w:ilvl w:val="0"/>
          <w:numId w:val="13"/>
        </w:numPr>
        <w:ind w:left="720" w:hanging="360"/>
        <w:rPr/>
      </w:pPr>
      <w:r w:rsidDel="00000000" w:rsidR="00000000" w:rsidRPr="00000000">
        <w:rPr>
          <w:b w:val="1"/>
          <w:bCs w:val="1"/>
          <w:rtl w:val="0"/>
        </w:rPr>
        <w:t xml:space="preserve">Osnovna pravila</w:t>
      </w:r>
      <w:r w:rsidDel="00000000" w:rsidR="00000000" w:rsidRPr="00000000">
        <w:rPr>
          <w:rtl w:val="0"/>
        </w:rPr>
        <w:br w:type="textWrapping"/>
        <w:t xml:space="preserve">Svim akterima u programu strogo je zabranjeno prihvatanje poklona, novca, usluga, popusta, putovanja, ugostiteljskih usluga, ugovorenih pogodnosti ili bilo koje druge prednosti od pojedinaca, kompanija, organizacija ili institucija koje posluju sa REDI-jem, primaju sredstva ili su podnosioci prijava za sredstva, ugovore ili poslovnu saradnju.</w:t>
      </w:r>
    </w:p>
    <w:p w:rsidR="00000000" w:rsidDel="00000000" w:rsidP="00000000" w:rsidRDefault="00000000" w:rsidRPr="00000000" w14:paraId="00000027">
      <w:pPr>
        <w:numPr>
          <w:ilvl w:val="0"/>
          <w:numId w:val="13"/>
        </w:numPr>
        <w:ind w:left="720" w:hanging="360"/>
        <w:rPr/>
      </w:pPr>
      <w:r w:rsidDel="00000000" w:rsidR="00000000" w:rsidRPr="00000000">
        <w:rPr>
          <w:b w:val="1"/>
          <w:bCs w:val="1"/>
          <w:rtl w:val="0"/>
        </w:rPr>
        <w:t xml:space="preserve">Izuzeci i ograničenja</w:t>
      </w:r>
      <w:r w:rsidDel="00000000" w:rsidR="00000000" w:rsidRPr="00000000">
        <w:rPr>
          <w:rtl w:val="0"/>
        </w:rPr>
        <w:br w:type="textWrapping"/>
        <w:t xml:space="preserve">Dozvoljeni su samo protokolarni pokloni skromne vrijednosti (do 10% prosječne mjesečne zarade u Srbiji), i to isključivo u formalnim, međunarodnim i ceremonijalnim kontekstima. Ukupna vrijednost primljenih poklona tokom godine ne smije preći iznos jedne prosječne mjesečne zarade. Svaki prihvaćeni poklon, čak i ako je dozvoljen, mora biti evidentiran i pismeno prijavljen nadležnom organu u roku od deset dana.</w:t>
      </w:r>
    </w:p>
    <w:p w:rsidR="00000000" w:rsidDel="00000000" w:rsidP="00000000" w:rsidRDefault="00000000" w:rsidRPr="00000000" w14:paraId="00000028">
      <w:pPr>
        <w:numPr>
          <w:ilvl w:val="0"/>
          <w:numId w:val="13"/>
        </w:numPr>
        <w:ind w:left="720" w:hanging="360"/>
        <w:rPr/>
      </w:pPr>
      <w:r w:rsidDel="00000000" w:rsidR="00000000" w:rsidRPr="00000000">
        <w:rPr>
          <w:b w:val="1"/>
          <w:bCs w:val="1"/>
          <w:rtl w:val="0"/>
        </w:rPr>
        <w:t xml:space="preserve">Posljedice i evidencija</w:t>
      </w:r>
      <w:r w:rsidDel="00000000" w:rsidR="00000000" w:rsidRPr="00000000">
        <w:rPr>
          <w:rtl w:val="0"/>
        </w:rPr>
        <w:br w:type="textWrapping"/>
        <w:t xml:space="preserve">Prekoračenje ovih ograničenja, neprijavljivanje ili zloupotreba ovog pravila povlači disciplinsku odgovornost, a neevidentirani pokloni postaju vlasništvo organizacije. Katalog primljenih poklona je javan i podnosi se u propisanom roku nadležnoj Agenciji za sprječavanje korupcije.</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14"/>
        </w:numPr>
        <w:ind w:left="720" w:hanging="360"/>
        <w:rPr>
          <w:b w:val="1"/>
          <w:bCs w:val="1"/>
        </w:rPr>
      </w:pPr>
      <w:r w:rsidDel="00000000" w:rsidR="00000000" w:rsidRPr="00000000">
        <w:rPr>
          <w:b w:val="1"/>
          <w:bCs w:val="1"/>
          <w:rtl w:val="0"/>
        </w:rPr>
        <w:t xml:space="preserve">Etičko postupanje u procesima nabavki i korišćenju sredstava</w:t>
      </w:r>
    </w:p>
    <w:p w:rsidR="00000000" w:rsidDel="00000000" w:rsidP="00000000" w:rsidRDefault="00000000" w:rsidRPr="00000000" w14:paraId="0000002B">
      <w:pPr>
        <w:ind w:left="720" w:firstLine="0"/>
        <w:rPr>
          <w:b w:val="1"/>
          <w:bCs w:val="1"/>
        </w:rPr>
      </w:pPr>
      <w:r w:rsidDel="00000000" w:rsidR="00000000" w:rsidRPr="00000000">
        <w:rPr>
          <w:rtl w:val="0"/>
        </w:rPr>
      </w:r>
    </w:p>
    <w:p w:rsidR="00000000" w:rsidDel="00000000" w:rsidP="00000000" w:rsidRDefault="00000000" w:rsidRPr="00000000" w14:paraId="0000002C">
      <w:pPr>
        <w:numPr>
          <w:ilvl w:val="0"/>
          <w:numId w:val="15"/>
        </w:numPr>
        <w:ind w:left="720" w:hanging="360"/>
        <w:rPr/>
      </w:pPr>
      <w:r w:rsidDel="00000000" w:rsidR="00000000" w:rsidRPr="00000000">
        <w:rPr>
          <w:b w:val="1"/>
          <w:bCs w:val="1"/>
          <w:rtl w:val="0"/>
        </w:rPr>
        <w:t xml:space="preserve">Javne nabavke i ugovaranje</w:t>
        <w:br w:type="textWrapping"/>
      </w:r>
      <w:r w:rsidDel="00000000" w:rsidR="00000000" w:rsidRPr="00000000">
        <w:rPr>
          <w:rtl w:val="0"/>
        </w:rPr>
        <w:t xml:space="preserve">Svi procesi nabavke, odabir dobavljača, podizvođača, vanjskih saradnika i druge poslovne aktivnosti finansirane iz sredstava granta moraju biti transparentni, zasnovani na fer konkurenciji, javnim pozivima i objektivnoj evaluaciji ponuda, uz obavezu izbjegavanja svih oblika sukoba interesa i favorizovanja, u skladu sa REDI pravilima i regulativom Evropske unije.</w:t>
      </w:r>
    </w:p>
    <w:p w:rsidR="00000000" w:rsidDel="00000000" w:rsidP="00000000" w:rsidRDefault="00000000" w:rsidRPr="00000000" w14:paraId="0000002D">
      <w:pPr>
        <w:numPr>
          <w:ilvl w:val="0"/>
          <w:numId w:val="15"/>
        </w:numPr>
        <w:ind w:left="720" w:hanging="360"/>
        <w:rPr/>
      </w:pPr>
      <w:r w:rsidDel="00000000" w:rsidR="00000000" w:rsidRPr="00000000">
        <w:rPr>
          <w:b w:val="1"/>
          <w:bCs w:val="1"/>
          <w:rtl w:val="0"/>
        </w:rPr>
        <w:t xml:space="preserve">Korišćenje sredstava</w:t>
      </w:r>
      <w:r w:rsidDel="00000000" w:rsidR="00000000" w:rsidRPr="00000000">
        <w:rPr>
          <w:rtl w:val="0"/>
        </w:rPr>
        <w:br w:type="textWrapping"/>
        <w:t xml:space="preserve">Sva sredstva se moraju koristiti isključivo za svrhe i aktivnosti definisane u odobrenim projektima i budžetskim linijama, bez prenamjene ili promjene svrhe bez pismene saglasnosti i dodatnih provjera. Razmatranje i odobravanje izmjena troškova ili transfera zahtijeva konsultacije sa pravnim i finansijskim ekspertima i odobrenje menadžmenta REDI programa i/ili donatora.</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16"/>
        </w:numPr>
        <w:ind w:left="720" w:hanging="360"/>
        <w:rPr>
          <w:b w:val="1"/>
          <w:bCs w:val="1"/>
        </w:rPr>
      </w:pPr>
      <w:r w:rsidDel="00000000" w:rsidR="00000000" w:rsidRPr="00000000">
        <w:rPr>
          <w:b w:val="1"/>
          <w:bCs w:val="1"/>
          <w:rtl w:val="0"/>
        </w:rPr>
        <w:t xml:space="preserve">Zaštita podataka o ličnosti</w:t>
      </w:r>
    </w:p>
    <w:p w:rsidR="00000000" w:rsidDel="00000000" w:rsidP="00000000" w:rsidRDefault="00000000" w:rsidRPr="00000000" w14:paraId="00000030">
      <w:pPr>
        <w:ind w:left="720" w:firstLine="0"/>
        <w:rPr>
          <w:b w:val="1"/>
          <w:bCs w:val="1"/>
        </w:rPr>
      </w:pPr>
      <w:r w:rsidDel="00000000" w:rsidR="00000000" w:rsidRPr="00000000">
        <w:rPr>
          <w:rtl w:val="0"/>
        </w:rPr>
      </w:r>
    </w:p>
    <w:p w:rsidR="00000000" w:rsidDel="00000000" w:rsidP="00000000" w:rsidRDefault="00000000" w:rsidRPr="00000000" w14:paraId="00000031">
      <w:pPr>
        <w:numPr>
          <w:ilvl w:val="0"/>
          <w:numId w:val="3"/>
        </w:numPr>
        <w:ind w:left="720" w:hanging="360"/>
        <w:rPr/>
      </w:pPr>
      <w:r w:rsidDel="00000000" w:rsidR="00000000" w:rsidRPr="00000000">
        <w:rPr>
          <w:b w:val="1"/>
          <w:bCs w:val="1"/>
          <w:rtl w:val="0"/>
        </w:rPr>
        <w:t xml:space="preserve">Obaveze i principi</w:t>
      </w:r>
      <w:r w:rsidDel="00000000" w:rsidR="00000000" w:rsidRPr="00000000">
        <w:rPr>
          <w:rtl w:val="0"/>
        </w:rPr>
        <w:br w:type="textWrapping"/>
        <w:t xml:space="preserve">Obrada podataka o ličnosti u svim programskim aktivnostima sprovodi se u skladu sa Zakonom o zaštiti podataka o ličnosti, oslanjajući se na principe zakonitosti, poštovanja privatnosti, ograničenja svrhe, minimizacije podataka i transparentnosti.</w:t>
      </w:r>
    </w:p>
    <w:p w:rsidR="00000000" w:rsidDel="00000000" w:rsidP="00000000" w:rsidRDefault="00000000" w:rsidRPr="00000000" w14:paraId="00000032">
      <w:pPr>
        <w:numPr>
          <w:ilvl w:val="0"/>
          <w:numId w:val="3"/>
        </w:numPr>
        <w:ind w:left="720" w:hanging="360"/>
        <w:rPr/>
      </w:pPr>
      <w:r w:rsidDel="00000000" w:rsidR="00000000" w:rsidRPr="00000000">
        <w:rPr>
          <w:b w:val="1"/>
          <w:bCs w:val="1"/>
          <w:rtl w:val="0"/>
        </w:rPr>
        <w:t xml:space="preserve">Tehničke i organizacione mjere bezbjednosti</w:t>
      </w:r>
      <w:r w:rsidDel="00000000" w:rsidR="00000000" w:rsidRPr="00000000">
        <w:rPr>
          <w:rtl w:val="0"/>
        </w:rPr>
        <w:br w:type="textWrapping"/>
        <w:t xml:space="preserve">REDI mora primijeniti tehničke, organizacione i kadrovske mjere (uključujući pseudonimizaciju i enkripciju) kako bi osigurao najviši nivo bezbjednosti podataka; podaci se mogu koristiti i čuvati samo onoliko dugo koliko je neophodno za obavljanje specifičnih dogovorenih aktivnosti.</w:t>
      </w:r>
    </w:p>
    <w:p w:rsidR="00000000" w:rsidDel="00000000" w:rsidP="00000000" w:rsidRDefault="00000000" w:rsidRPr="00000000" w14:paraId="00000033">
      <w:pPr>
        <w:numPr>
          <w:ilvl w:val="0"/>
          <w:numId w:val="3"/>
        </w:numPr>
        <w:ind w:left="720" w:hanging="360"/>
        <w:rPr/>
      </w:pPr>
      <w:r w:rsidDel="00000000" w:rsidR="00000000" w:rsidRPr="00000000">
        <w:rPr>
          <w:b w:val="1"/>
          <w:bCs w:val="1"/>
          <w:rtl w:val="0"/>
        </w:rPr>
        <w:t xml:space="preserve">Prava pojedinaca i postupak</w:t>
      </w:r>
      <w:r w:rsidDel="00000000" w:rsidR="00000000" w:rsidRPr="00000000">
        <w:rPr>
          <w:rtl w:val="0"/>
        </w:rPr>
        <w:br w:type="textWrapping"/>
        <w:t xml:space="preserve">Svaki korisnik ili učesnik ima pravo da zahtijeva pristup, ispravku ili brisanje svojih ličnih podataka. U slučaju povrede podataka, REDI mora bez odlaganja obavijestiti Agenciju za zaštitu ličnih podataka i pristup informacijama, kao i pogođeno lice.</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4"/>
        </w:numPr>
        <w:ind w:left="720" w:hanging="360"/>
        <w:rPr>
          <w:b w:val="1"/>
          <w:bCs w:val="1"/>
        </w:rPr>
      </w:pPr>
      <w:r w:rsidDel="00000000" w:rsidR="00000000" w:rsidRPr="00000000">
        <w:rPr>
          <w:b w:val="1"/>
          <w:bCs w:val="1"/>
          <w:rtl w:val="0"/>
        </w:rPr>
        <w:t xml:space="preserve">Disciplinske mjere i sankcije</w:t>
      </w:r>
    </w:p>
    <w:p w:rsidR="00000000" w:rsidDel="00000000" w:rsidP="00000000" w:rsidRDefault="00000000" w:rsidRPr="00000000" w14:paraId="00000036">
      <w:pPr>
        <w:ind w:left="720" w:firstLine="0"/>
        <w:rPr>
          <w:b w:val="1"/>
          <w:bCs w:val="1"/>
        </w:rPr>
      </w:pPr>
      <w:r w:rsidDel="00000000" w:rsidR="00000000" w:rsidRPr="00000000">
        <w:rPr>
          <w:rtl w:val="0"/>
        </w:rPr>
      </w:r>
    </w:p>
    <w:p w:rsidR="00000000" w:rsidDel="00000000" w:rsidP="00000000" w:rsidRDefault="00000000" w:rsidRPr="00000000" w14:paraId="00000037">
      <w:pPr>
        <w:numPr>
          <w:ilvl w:val="0"/>
          <w:numId w:val="5"/>
        </w:numPr>
        <w:ind w:left="720" w:hanging="360"/>
        <w:rPr/>
      </w:pPr>
      <w:r w:rsidDel="00000000" w:rsidR="00000000" w:rsidRPr="00000000">
        <w:rPr>
          <w:b w:val="1"/>
          <w:bCs w:val="1"/>
          <w:rtl w:val="0"/>
        </w:rPr>
        <w:t xml:space="preserve">Vrste disciplinskih sankcija</w:t>
      </w:r>
      <w:r w:rsidDel="00000000" w:rsidR="00000000" w:rsidRPr="00000000">
        <w:rPr>
          <w:rtl w:val="0"/>
        </w:rPr>
        <w:br w:type="textWrapping"/>
        <w:t xml:space="preserve">Za kršenje smjernica, u skladu sa Zakonom o radu i internim aktima, mogu se izreći sljedeće disciplinske mjere:</w:t>
      </w:r>
    </w:p>
    <w:p w:rsidR="00000000" w:rsidDel="00000000" w:rsidP="00000000" w:rsidRDefault="00000000" w:rsidRPr="00000000" w14:paraId="00000038">
      <w:pPr>
        <w:numPr>
          <w:ilvl w:val="0"/>
          <w:numId w:val="6"/>
        </w:numPr>
        <w:ind w:left="720" w:hanging="360"/>
        <w:rPr/>
      </w:pPr>
      <w:r w:rsidDel="00000000" w:rsidR="00000000" w:rsidRPr="00000000">
        <w:rPr>
          <w:rtl w:val="0"/>
        </w:rPr>
        <w:t xml:space="preserve">Privremena suspenzija sa rada bez naknade zarade (do 15 dana);</w:t>
      </w:r>
    </w:p>
    <w:p w:rsidR="00000000" w:rsidDel="00000000" w:rsidP="00000000" w:rsidRDefault="00000000" w:rsidRPr="00000000" w14:paraId="00000039">
      <w:pPr>
        <w:numPr>
          <w:ilvl w:val="0"/>
          <w:numId w:val="6"/>
        </w:numPr>
        <w:ind w:left="720" w:hanging="360"/>
        <w:rPr/>
      </w:pPr>
      <w:r w:rsidDel="00000000" w:rsidR="00000000" w:rsidRPr="00000000">
        <w:rPr>
          <w:rtl w:val="0"/>
        </w:rPr>
        <w:t xml:space="preserve">Novčana kazna (do 20% mjesečne zarade, u trajanju do tri mjeseca);</w:t>
      </w:r>
    </w:p>
    <w:p w:rsidR="00000000" w:rsidDel="00000000" w:rsidP="00000000" w:rsidRDefault="00000000" w:rsidRPr="00000000" w14:paraId="0000003A">
      <w:pPr>
        <w:numPr>
          <w:ilvl w:val="0"/>
          <w:numId w:val="6"/>
        </w:numPr>
        <w:ind w:left="720" w:hanging="360"/>
        <w:rPr/>
      </w:pPr>
      <w:r w:rsidDel="00000000" w:rsidR="00000000" w:rsidRPr="00000000">
        <w:rPr>
          <w:rtl w:val="0"/>
        </w:rPr>
        <w:t xml:space="preserve">Upozorenje pred otkaz ugovora o radu (za ponovljeno kršenje u roku od šest mjeseci);</w:t>
      </w:r>
    </w:p>
    <w:p w:rsidR="00000000" w:rsidDel="00000000" w:rsidP="00000000" w:rsidRDefault="00000000" w:rsidRPr="00000000" w14:paraId="0000003B">
      <w:pPr>
        <w:numPr>
          <w:ilvl w:val="0"/>
          <w:numId w:val="6"/>
        </w:numPr>
        <w:ind w:left="720" w:hanging="360"/>
        <w:rPr/>
      </w:pPr>
      <w:r w:rsidDel="00000000" w:rsidR="00000000" w:rsidRPr="00000000">
        <w:rPr>
          <w:rtl w:val="0"/>
        </w:rPr>
        <w:t xml:space="preserve">Prestanak radnog odnosa (za teške, namjerne ili ponovljene povrede);</w:t>
      </w:r>
    </w:p>
    <w:p w:rsidR="00000000" w:rsidDel="00000000" w:rsidP="00000000" w:rsidRDefault="00000000" w:rsidRPr="00000000" w14:paraId="0000003C">
      <w:pPr>
        <w:numPr>
          <w:ilvl w:val="0"/>
          <w:numId w:val="6"/>
        </w:numPr>
        <w:ind w:left="720" w:hanging="360"/>
        <w:rPr/>
      </w:pPr>
      <w:r w:rsidDel="00000000" w:rsidR="00000000" w:rsidRPr="00000000">
        <w:rPr>
          <w:rtl w:val="0"/>
        </w:rPr>
        <w:t xml:space="preserve">Javna opomena ili preporuka za razrješenje člana odbora ako je povreda teška i narušava povjerenje u program</w:t>
      </w:r>
    </w:p>
    <w:p w:rsidR="00000000" w:rsidDel="00000000" w:rsidP="00000000" w:rsidRDefault="00000000" w:rsidRPr="00000000" w14:paraId="0000003D">
      <w:pPr>
        <w:numPr>
          <w:ilvl w:val="0"/>
          <w:numId w:val="7"/>
        </w:numPr>
        <w:ind w:left="720" w:hanging="360"/>
        <w:rPr/>
      </w:pPr>
      <w:r w:rsidDel="00000000" w:rsidR="00000000" w:rsidRPr="00000000">
        <w:rPr>
          <w:b w:val="1"/>
          <w:bCs w:val="1"/>
          <w:rtl w:val="0"/>
        </w:rPr>
        <w:t xml:space="preserve">Postupak</w:t>
      </w:r>
      <w:r w:rsidDel="00000000" w:rsidR="00000000" w:rsidRPr="00000000">
        <w:rPr>
          <w:rtl w:val="0"/>
        </w:rPr>
        <w:br w:type="textWrapping"/>
        <w:t xml:space="preserve">Prije donošenja konačne mjere, licu će biti dostavljeno pismeno obavještenje sa opisom povrede, pratećim dokazima i rokom od najmanje osam dana za izjašnjenje na navode. Sindikat, ako postoji, obavještava se o izjašnjenju. Konačna mjera se donosi u pisanoj formi i može se pobijati pred sudom u roku od 60 dana.</w:t>
      </w:r>
    </w:p>
    <w:p w:rsidR="00000000" w:rsidDel="00000000" w:rsidP="00000000" w:rsidRDefault="00000000" w:rsidRPr="00000000" w14:paraId="0000003E">
      <w:pPr>
        <w:numPr>
          <w:ilvl w:val="0"/>
          <w:numId w:val="7"/>
        </w:numPr>
        <w:ind w:left="720" w:hanging="360"/>
        <w:rPr/>
      </w:pPr>
      <w:r w:rsidDel="00000000" w:rsidR="00000000" w:rsidRPr="00000000">
        <w:rPr>
          <w:b w:val="1"/>
          <w:bCs w:val="1"/>
          <w:rtl w:val="0"/>
        </w:rPr>
        <w:t xml:space="preserve">Kumulativna odgovornost</w:t>
      </w:r>
      <w:r w:rsidDel="00000000" w:rsidR="00000000" w:rsidRPr="00000000">
        <w:rPr>
          <w:rtl w:val="0"/>
        </w:rPr>
        <w:br w:type="textWrapping"/>
        <w:t xml:space="preserve">Pored disciplinske odgovornosti, isto lice može snositi materijalnu, prekršajnu ili krivičnu odgovornost ukoliko postupanje sadrži elemente prekršaja ili krivičnog djela.</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8"/>
        </w:numPr>
        <w:ind w:left="720" w:hanging="360"/>
        <w:rPr/>
      </w:pPr>
      <w:r w:rsidDel="00000000" w:rsidR="00000000" w:rsidRPr="00000000">
        <w:rPr>
          <w:b w:val="1"/>
          <w:bCs w:val="1"/>
          <w:rtl w:val="0"/>
        </w:rPr>
        <w:t xml:space="preserve">Završne odredbe</w:t>
      </w: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br w:type="textWrapping"/>
        <w:t xml:space="preserve">Ovaj dokument je usklađen sa:</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Zakonom o sprječavanju korupcije (Službeni list Crne Gore);</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Zakonom o zaštiti podataka o ličnosti (Službeni list Crne Gore);</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Zakonom o radu;</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Zakonom o zaštiti uzbunjivača;</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pratećim propisima i internim aktima REDI-ja.</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U slučaju bilo kakvog sukoba između odredbi ovog dokumenta i važećeg zakona, prednost će imati zakonska odredba, a interni akt će biti usklađen sa novom regulativom u neophodnom roku.</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Datum: _________________________</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Ime i prezime: _________________________</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Potpis: _________________________</w:t>
      </w:r>
    </w:p>
    <w:sectPr>
      <w:headerReference r:id="rId9" w:type="default"/>
      <w:headerReference r:id="rId10" w:type="first"/>
      <w:headerReference r:id="rId11" w:type="even"/>
      <w:footerReference r:id="rId12" w:type="default"/>
      <w:footerReference r:id="rId13" w:type="first"/>
      <w:footerReference r:id="rId14" w:type="even"/>
      <w:pgSz w:h="16845" w:w="11920" w:orient="portrait"/>
      <w:pgMar w:bottom="869" w:top="1440" w:left="1200" w:right="121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-761997</wp:posOffset>
          </wp:positionH>
          <wp:positionV relativeFrom="paragraph">
            <wp:posOffset>-2623817</wp:posOffset>
          </wp:positionV>
          <wp:extent cx="7562850" cy="3092450"/>
          <wp:effectExtent b="0" l="0" r="0" t="0"/>
          <wp:wrapNone/>
          <wp:docPr descr="A green and white flag&#10;&#10;AI-generated content may be incorrect." id="1403671637" name="image4.png"/>
          <a:graphic>
            <a:graphicData uri="http://schemas.openxmlformats.org/drawingml/2006/picture">
              <pic:pic>
                <pic:nvPicPr>
                  <pic:cNvPr descr="A green and white flag&#10;&#10;AI-generated content may be incorrect." id="0" name="image4.png"/>
                  <pic:cNvPicPr preferRelativeResize="0"/>
                </pic:nvPicPr>
                <pic:blipFill>
                  <a:blip r:embed="rId1"/>
                  <a:srcRect b="-2364" l="13770" r="0" t="2260"/>
                  <a:stretch>
                    <a:fillRect/>
                  </a:stretch>
                </pic:blipFill>
                <pic:spPr>
                  <a:xfrm>
                    <a:off x="0" y="0"/>
                    <a:ext cx="7562850" cy="3092450"/>
                  </a:xfrm>
                  <a:prstGeom prst="rect"/>
                  <a:ln/>
                </pic:spPr>
              </pic:pic>
            </a:graphicData>
          </a:graphic>
        </wp:anchor>
      </w:drawing>
    </w:r>
  </w:p>
  <w:p w:rsidR="00000000" w:rsidDel="00000000" w:rsidP="00000000" w:rsidRDefault="00000000" w:rsidRPr="00000000" w14:paraId="00000055">
    <w:pPr>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1"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b w:val="1"/>
        <w:bCs w:val="1"/>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7"/>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8"/>
      <w:numFmt w:val="upperRoman"/>
      <w:lvlText w:val="%1."/>
      <w:lvlJc w:val="right"/>
      <w:pPr>
        <w:ind w:left="720" w:hanging="360"/>
      </w:pPr>
      <w:rPr>
        <w:b w:val="1"/>
        <w:bCs w:val="1"/>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0">
    <w:lvl w:ilvl="0">
      <w:start w:val="3"/>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4"/>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22"/>
      <w:numFmt w:val="upperLetter"/>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2160" w:hanging="360"/>
      </w:pPr>
      <w:rPr/>
    </w:lvl>
    <w:lvl w:ilvl="3">
      <w:start w:val="1"/>
      <w:numFmt w:val="upperLetter"/>
      <w:lvlText w:val="%4."/>
      <w:lvlJc w:val="left"/>
      <w:pPr>
        <w:ind w:left="2880" w:hanging="360"/>
      </w:pPr>
      <w:rPr/>
    </w:lvl>
    <w:lvl w:ilvl="4">
      <w:start w:val="1"/>
      <w:numFmt w:val="upperLetter"/>
      <w:lvlText w:val="%5."/>
      <w:lvlJc w:val="left"/>
      <w:pPr>
        <w:ind w:left="3600" w:hanging="360"/>
      </w:pPr>
      <w:rPr/>
    </w:lvl>
    <w:lvl w:ilvl="5">
      <w:start w:val="1"/>
      <w:numFmt w:val="upperLetter"/>
      <w:lvlText w:val="%6."/>
      <w:lvlJc w:val="left"/>
      <w:pPr>
        <w:ind w:left="4320" w:hanging="360"/>
      </w:pPr>
      <w:rPr/>
    </w:lvl>
    <w:lvl w:ilvl="6">
      <w:start w:val="1"/>
      <w:numFmt w:val="upperLetter"/>
      <w:lvlText w:val="%7."/>
      <w:lvlJc w:val="left"/>
      <w:pPr>
        <w:ind w:left="5040" w:hanging="360"/>
      </w:pPr>
      <w:rPr/>
    </w:lvl>
    <w:lvl w:ilvl="7">
      <w:start w:val="1"/>
      <w:numFmt w:val="upperLetter"/>
      <w:lvlText w:val="%8."/>
      <w:lvlJc w:val="left"/>
      <w:pPr>
        <w:ind w:left="5760" w:hanging="360"/>
      </w:pPr>
      <w:rPr/>
    </w:lvl>
    <w:lvl w:ilvl="8">
      <w:start w:val="1"/>
      <w:numFmt w:val="upperLetter"/>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6"/>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57A2E"/>
    <w:pPr>
      <w:tabs>
        <w:tab w:val="center" w:pos="4680"/>
        <w:tab w:val="right" w:pos="9360"/>
      </w:tabs>
    </w:pPr>
  </w:style>
  <w:style w:type="character" w:styleId="HeaderChar" w:customStyle="1">
    <w:name w:val="Header Char"/>
    <w:basedOn w:val="DefaultParagraphFont"/>
    <w:link w:val="Header"/>
    <w:uiPriority w:val="99"/>
    <w:rsid w:val="00C57A2E"/>
  </w:style>
  <w:style w:type="paragraph" w:styleId="Footer">
    <w:name w:val="footer"/>
    <w:basedOn w:val="Normal"/>
    <w:link w:val="FooterChar"/>
    <w:uiPriority w:val="99"/>
    <w:unhideWhenUsed w:val="1"/>
    <w:rsid w:val="00C57A2E"/>
    <w:pPr>
      <w:tabs>
        <w:tab w:val="center" w:pos="4680"/>
        <w:tab w:val="right" w:pos="9360"/>
      </w:tabs>
    </w:pPr>
  </w:style>
  <w:style w:type="character" w:styleId="FooterChar" w:customStyle="1">
    <w:name w:val="Footer Char"/>
    <w:basedOn w:val="DefaultParagraphFont"/>
    <w:link w:val="Footer"/>
    <w:uiPriority w:val="99"/>
    <w:rsid w:val="00C57A2E"/>
  </w:style>
  <w:style w:type="table" w:styleId="1" w:customStyle="1">
    <w:name w:val="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36A0F"/>
    <w:pPr>
      <w:ind w:left="720"/>
      <w:contextualSpacing w:val="1"/>
    </w:pPr>
  </w:style>
  <w:style w:type="paragraph" w:styleId="ListBullet">
    <w:name w:val="List Bullet"/>
    <w:basedOn w:val="Normal"/>
    <w:uiPriority w:val="99"/>
    <w:unhideWhenUsed w:val="1"/>
    <w:rsid w:val="001834F2"/>
    <w:pPr>
      <w:numPr>
        <w:numId w:val="2"/>
      </w:numPr>
      <w:spacing w:after="200" w:line="276" w:lineRule="auto"/>
      <w:contextualSpacing w:val="1"/>
    </w:pPr>
    <w:rPr>
      <w:rFonts w:ascii="Cambria" w:cs="Cambria" w:eastAsia="Cambria" w:hAnsi="Cambria"/>
    </w:rPr>
  </w:style>
  <w:style w:type="table" w:styleId="a" w:customStyle="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Y4t3FBvl6OdXjJnFJisAHR4Cw==">CgMxLjAyCWlkLmdqZGd4czgAciExR1JkOWlxTVNfdFJ6ME5pZHMwcDFKRENjYUFSQ3UxUGI=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2025-11-06T14:46:00Z</dcterms:created>
  <dc:creator>Windows User</dc:creator>
</cp:coreProperties>
</file>