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sz w:val="24"/>
          <w:szCs w:val="24"/>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562850" cy="2590800"/>
            <wp:effectExtent b="0" l="0" r="0" t="0"/>
            <wp:wrapNone/>
            <wp:docPr id="140367163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7562850" cy="259080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3414395</wp:posOffset>
            </wp:positionH>
            <wp:positionV relativeFrom="paragraph">
              <wp:posOffset>-370838</wp:posOffset>
            </wp:positionV>
            <wp:extent cx="1646007" cy="365760"/>
            <wp:effectExtent b="0" l="0" r="0" t="0"/>
            <wp:wrapNone/>
            <wp:docPr descr="Blue text on a black background&#10;&#10;Description automatically generated" id="1403671634" name="image3.png"/>
            <a:graphic>
              <a:graphicData uri="http://schemas.openxmlformats.org/drawingml/2006/picture">
                <pic:pic>
                  <pic:nvPicPr>
                    <pic:cNvPr descr="Blue text on a black background&#10;&#10;Description automatically generated" id="0" name="image3.png"/>
                    <pic:cNvPicPr preferRelativeResize="0"/>
                  </pic:nvPicPr>
                  <pic:blipFill>
                    <a:blip r:embed="rId8"/>
                    <a:srcRect b="0" l="0" r="0" t="0"/>
                    <a:stretch>
                      <a:fillRect/>
                    </a:stretch>
                  </pic:blipFill>
                  <pic:spPr>
                    <a:xfrm>
                      <a:off x="0" y="0"/>
                      <a:ext cx="1646007" cy="365760"/>
                    </a:xfrm>
                    <a:prstGeom prst="rect"/>
                    <a:ln/>
                  </pic:spPr>
                </pic:pic>
              </a:graphicData>
            </a:graphic>
          </wp:anchor>
        </w:drawing>
      </w:r>
    </w:p>
    <w:tbl>
      <w:tblPr>
        <w:tblStyle w:val="Table1"/>
        <w:tblpPr w:leftFromText="180" w:rightFromText="180" w:topFromText="0" w:bottomFromText="0" w:vertAnchor="text" w:horzAnchor="text" w:tblpX="0" w:tblpY="51"/>
        <w:tblW w:w="9520.0" w:type="dxa"/>
        <w:jc w:val="left"/>
        <w:tblLayout w:type="fixed"/>
        <w:tblLook w:val="0400"/>
      </w:tblPr>
      <w:tblGrid>
        <w:gridCol w:w="7110"/>
        <w:gridCol w:w="2410"/>
        <w:tblGridChange w:id="0">
          <w:tblGrid>
            <w:gridCol w:w="7110"/>
            <w:gridCol w:w="2410"/>
          </w:tblGrid>
        </w:tblGridChange>
      </w:tblGrid>
      <w:tr>
        <w:trPr>
          <w:cantSplit w:val="0"/>
          <w:trHeight w:val="347" w:hRule="atLeast"/>
          <w:tblHeader w:val="0"/>
        </w:trPr>
        <w:tc>
          <w:tcPr>
            <w:vAlign w:val="bottom"/>
          </w:tcPr>
          <w:p w:rsidR="00000000" w:rsidDel="00000000" w:rsidP="00000000" w:rsidRDefault="00000000" w:rsidRPr="00000000" w14:paraId="00000004">
            <w:pPr>
              <w:rPr>
                <w:sz w:val="20"/>
                <w:szCs w:val="20"/>
              </w:rPr>
            </w:pPr>
            <w:r w:rsidDel="00000000" w:rsidR="00000000" w:rsidRPr="00000000">
              <w:rPr>
                <w:rFonts w:ascii="Arial" w:cs="Arial" w:eastAsia="Arial" w:hAnsi="Arial"/>
                <w:b w:val="1"/>
                <w:bCs w:val="1"/>
                <w:color w:val="272626"/>
                <w:sz w:val="26"/>
                <w:szCs w:val="26"/>
                <w:rtl w:val="0"/>
              </w:rPr>
              <w:t xml:space="preserve">EU Support to REDI Phase II: Advancing</w:t>
            </w:r>
            <w:r w:rsidDel="00000000" w:rsidR="00000000" w:rsidRPr="00000000">
              <w:rPr>
                <w:rtl w:val="0"/>
              </w:rPr>
            </w:r>
          </w:p>
        </w:tc>
        <w:tc>
          <w:tcPr>
            <w:vAlign w:val="bottom"/>
          </w:tcPr>
          <w:p w:rsidR="00000000" w:rsidDel="00000000" w:rsidP="00000000" w:rsidRDefault="00000000" w:rsidRPr="00000000" w14:paraId="00000005">
            <w:pPr>
              <w:jc w:val="center"/>
              <w:rPr>
                <w:sz w:val="20"/>
                <w:szCs w:val="20"/>
              </w:rPr>
            </w:pPr>
            <w:r w:rsidDel="00000000" w:rsidR="00000000" w:rsidRPr="00000000">
              <w:rPr>
                <w:rtl w:val="0"/>
              </w:rPr>
            </w:r>
          </w:p>
        </w:tc>
      </w:tr>
      <w:tr>
        <w:trPr>
          <w:cantSplit w:val="0"/>
          <w:trHeight w:val="333" w:hRule="atLeast"/>
          <w:tblHeader w:val="0"/>
        </w:trPr>
        <w:tc>
          <w:tcPr>
            <w:vAlign w:val="bottom"/>
          </w:tcPr>
          <w:p w:rsidR="00000000" w:rsidDel="00000000" w:rsidP="00000000" w:rsidRDefault="00000000" w:rsidRPr="00000000" w14:paraId="00000006">
            <w:pPr>
              <w:rPr>
                <w:sz w:val="20"/>
                <w:szCs w:val="20"/>
              </w:rPr>
            </w:pPr>
            <w:r w:rsidDel="00000000" w:rsidR="00000000" w:rsidRPr="00000000">
              <w:rPr>
                <w:rFonts w:ascii="Arial" w:cs="Arial" w:eastAsia="Arial" w:hAnsi="Arial"/>
                <w:b w:val="1"/>
                <w:bCs w:val="1"/>
                <w:color w:val="272626"/>
                <w:sz w:val="26"/>
                <w:szCs w:val="26"/>
                <w:rtl w:val="0"/>
              </w:rPr>
              <w:t xml:space="preserve">Roma Entrepreneurs in the Western</w:t>
            </w:r>
            <w:r w:rsidDel="00000000" w:rsidR="00000000" w:rsidRPr="00000000">
              <w:rPr>
                <w:rtl w:val="0"/>
              </w:rPr>
            </w:r>
          </w:p>
        </w:tc>
        <w:tc>
          <w:tcPr>
            <w:vAlign w:val="bottom"/>
          </w:tcPr>
          <w:p w:rsidR="00000000" w:rsidDel="00000000" w:rsidP="00000000" w:rsidRDefault="00000000" w:rsidRPr="00000000" w14:paraId="00000007">
            <w:pPr>
              <w:rPr>
                <w:sz w:val="20"/>
                <w:szCs w:val="20"/>
              </w:rPr>
            </w:pPr>
            <w:r w:rsidDel="00000000" w:rsidR="00000000" w:rsidRPr="00000000">
              <w:rPr>
                <w:rtl w:val="0"/>
              </w:rPr>
            </w:r>
          </w:p>
        </w:tc>
      </w:tr>
      <w:tr>
        <w:trPr>
          <w:cantSplit w:val="0"/>
          <w:trHeight w:val="360" w:hRule="atLeast"/>
          <w:tblHeader w:val="0"/>
        </w:trPr>
        <w:tc>
          <w:tcPr>
            <w:vAlign w:val="bottom"/>
          </w:tcPr>
          <w:p w:rsidR="00000000" w:rsidDel="00000000" w:rsidP="00000000" w:rsidRDefault="00000000" w:rsidRPr="00000000" w14:paraId="00000008">
            <w:pPr>
              <w:rPr>
                <w:sz w:val="20"/>
                <w:szCs w:val="20"/>
              </w:rPr>
            </w:pPr>
            <w:r w:rsidDel="00000000" w:rsidR="00000000" w:rsidRPr="00000000">
              <w:rPr>
                <w:rFonts w:ascii="Arial" w:cs="Arial" w:eastAsia="Arial" w:hAnsi="Arial"/>
                <w:b w:val="1"/>
                <w:bCs w:val="1"/>
                <w:color w:val="272626"/>
                <w:sz w:val="26"/>
                <w:szCs w:val="26"/>
                <w:rtl w:val="0"/>
              </w:rPr>
              <w:t xml:space="preserve">Balkans and Türkiye</w:t>
            </w:r>
            <w:r w:rsidDel="00000000" w:rsidR="00000000" w:rsidRPr="00000000">
              <w:rPr>
                <w:rtl w:val="0"/>
              </w:rPr>
            </w:r>
          </w:p>
        </w:tc>
        <w:tc>
          <w:tcPr>
            <w:vAlign w:val="bottom"/>
          </w:tcPr>
          <w:p w:rsidR="00000000" w:rsidDel="00000000" w:rsidP="00000000" w:rsidRDefault="00000000" w:rsidRPr="00000000" w14:paraId="00000009">
            <w:pPr>
              <w:rPr>
                <w:sz w:val="24"/>
                <w:szCs w:val="24"/>
              </w:rPr>
            </w:pPr>
            <w:r w:rsidDel="00000000" w:rsidR="00000000" w:rsidRPr="00000000">
              <w:rPr>
                <w:rtl w:val="0"/>
              </w:rPr>
            </w:r>
          </w:p>
        </w:tc>
      </w:tr>
    </w:tbl>
    <w:p w:rsidR="00000000" w:rsidDel="00000000" w:rsidP="00000000" w:rsidRDefault="00000000" w:rsidRPr="00000000" w14:paraId="0000000A">
      <w:pPr>
        <w:spacing w:line="200" w:lineRule="auto"/>
        <w:rPr>
          <w:sz w:val="24"/>
          <w:szCs w:val="24"/>
        </w:rPr>
      </w:pPr>
      <w:r w:rsidDel="00000000" w:rsidR="00000000" w:rsidRPr="00000000">
        <w:rPr>
          <w:rtl w:val="0"/>
        </w:rPr>
      </w:r>
    </w:p>
    <w:p w:rsidR="00000000" w:rsidDel="00000000" w:rsidP="00000000" w:rsidRDefault="00000000" w:rsidRPr="00000000" w14:paraId="0000000B">
      <w:pPr>
        <w:spacing w:line="200" w:lineRule="auto"/>
        <w:rPr>
          <w:sz w:val="24"/>
          <w:szCs w:val="24"/>
        </w:rPr>
      </w:pPr>
      <w:r w:rsidDel="00000000" w:rsidR="00000000" w:rsidRPr="00000000">
        <w:rPr>
          <w:rtl w:val="0"/>
        </w:rPr>
      </w:r>
    </w:p>
    <w:bookmarkStart w:colFirst="0" w:colLast="0" w:name="bookmark=id.gjdgxs" w:id="0"/>
    <w:bookmarkEnd w:id="0"/>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jc w:val="center"/>
        <w:rPr>
          <w:b w:val="1"/>
          <w:bCs w:val="1"/>
          <w:sz w:val="28"/>
          <w:szCs w:val="28"/>
        </w:rPr>
      </w:pPr>
      <w:r w:rsidDel="00000000" w:rsidR="00000000" w:rsidRPr="00000000">
        <w:rPr>
          <w:b w:val="1"/>
          <w:bCs w:val="1"/>
          <w:sz w:val="28"/>
          <w:szCs w:val="28"/>
          <w:rtl w:val="0"/>
        </w:rPr>
        <w:t xml:space="preserve">REDI grants aimed at supporting formal employment of Roma and Egyptians in Montenegro </w:t>
      </w:r>
    </w:p>
    <w:p w:rsidR="00000000" w:rsidDel="00000000" w:rsidP="00000000" w:rsidRDefault="00000000" w:rsidRPr="00000000" w14:paraId="0000000E">
      <w:pPr>
        <w:rPr>
          <w:b w:val="1"/>
          <w:bCs w:val="1"/>
          <w:sz w:val="28"/>
          <w:szCs w:val="28"/>
        </w:rPr>
      </w:pPr>
      <w:r w:rsidDel="00000000" w:rsidR="00000000" w:rsidRPr="00000000">
        <w:rPr>
          <w:rtl w:val="0"/>
        </w:rPr>
      </w:r>
    </w:p>
    <w:p w:rsidR="00000000" w:rsidDel="00000000" w:rsidP="00000000" w:rsidRDefault="00000000" w:rsidRPr="00000000" w14:paraId="0000000F">
      <w:pPr>
        <w:rPr>
          <w:b w:val="1"/>
          <w:bCs w:val="1"/>
          <w:sz w:val="28"/>
          <w:szCs w:val="28"/>
        </w:rPr>
      </w:pPr>
      <w:r w:rsidDel="00000000" w:rsidR="00000000" w:rsidRPr="00000000">
        <w:rPr>
          <w:rtl w:val="0"/>
        </w:rPr>
      </w:r>
    </w:p>
    <w:p w:rsidR="00000000" w:rsidDel="00000000" w:rsidP="00000000" w:rsidRDefault="00000000" w:rsidRPr="00000000" w14:paraId="00000010">
      <w:pPr>
        <w:jc w:val="center"/>
        <w:rPr>
          <w:b w:val="1"/>
          <w:bCs w:val="1"/>
        </w:rPr>
      </w:pPr>
      <w:r w:rsidDel="00000000" w:rsidR="00000000" w:rsidRPr="00000000">
        <w:rPr>
          <w:b w:val="1"/>
          <w:bCs w:val="1"/>
          <w:rtl w:val="0"/>
        </w:rPr>
        <w:t xml:space="preserve">Guidelines on Ethical Conduct</w:t>
      </w:r>
    </w:p>
    <w:p w:rsidR="00000000" w:rsidDel="00000000" w:rsidP="00000000" w:rsidRDefault="00000000" w:rsidRPr="00000000" w14:paraId="00000011">
      <w:pPr>
        <w:jc w:val="center"/>
        <w:rPr>
          <w:b w:val="1"/>
          <w:bCs w:val="1"/>
        </w:rPr>
      </w:pPr>
      <w:r w:rsidDel="00000000" w:rsidR="00000000" w:rsidRPr="00000000">
        <w:rPr>
          <w:rtl w:val="0"/>
        </w:rPr>
      </w:r>
    </w:p>
    <w:p w:rsidR="00000000" w:rsidDel="00000000" w:rsidP="00000000" w:rsidRDefault="00000000" w:rsidRPr="00000000" w14:paraId="00000012">
      <w:pPr>
        <w:numPr>
          <w:ilvl w:val="0"/>
          <w:numId w:val="1"/>
        </w:numPr>
        <w:ind w:left="720" w:hanging="360"/>
        <w:rPr/>
      </w:pPr>
      <w:r w:rsidDel="00000000" w:rsidR="00000000" w:rsidRPr="00000000">
        <w:rPr>
          <w:b w:val="1"/>
          <w:bCs w:val="1"/>
          <w:rtl w:val="0"/>
        </w:rPr>
        <w:t xml:space="preserve">General Provisions and Purpose of the Document</w:t>
      </w:r>
      <w:r w:rsidDel="00000000" w:rsidR="00000000" w:rsidRPr="00000000">
        <w:rPr>
          <w:rtl w:val="0"/>
        </w:rPr>
        <w:br w:type="textWrapping"/>
        <w:t xml:space="preserve">These Guidelines on Ethical Conduct set out the values, principles, and detailed rules that bind all participants in the program — employees, board members, experts, external collaborators, volunteers, and final grant beneficiaries — to observe the highest ethical and legal standards. Compliance with these guidelines is a condition for employment, cooperation, and receipt of support under the grant program. The need for a robust ethical framework stems from the public nature of the work, the allocation of funds, and the risks of conflict of interest and corruption inherent in any public and European-funded program.</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numPr>
          <w:ilvl w:val="0"/>
          <w:numId w:val="1"/>
        </w:numPr>
        <w:ind w:left="720" w:hanging="360"/>
        <w:rPr/>
      </w:pPr>
      <w:r w:rsidDel="00000000" w:rsidR="00000000" w:rsidRPr="00000000">
        <w:rPr>
          <w:b w:val="1"/>
          <w:bCs w:val="1"/>
          <w:rtl w:val="0"/>
        </w:rPr>
        <w:t xml:space="preserve">Core Principles of Ethical Conduct</w:t>
      </w:r>
      <w:r w:rsidDel="00000000" w:rsidR="00000000" w:rsidRPr="00000000">
        <w:rPr>
          <w:rtl w:val="0"/>
        </w:rPr>
        <w:br w:type="textWrapping"/>
        <w:t xml:space="preserve">In order of importance, all program participants must be guided by the following fundamentals:</w:t>
      </w:r>
    </w:p>
    <w:p w:rsidR="00000000" w:rsidDel="00000000" w:rsidP="00000000" w:rsidRDefault="00000000" w:rsidRPr="00000000" w14:paraId="00000015">
      <w:pPr>
        <w:numPr>
          <w:ilvl w:val="0"/>
          <w:numId w:val="2"/>
        </w:numPr>
        <w:ind w:left="1440" w:hanging="360"/>
        <w:rPr/>
      </w:pPr>
      <w:r w:rsidDel="00000000" w:rsidR="00000000" w:rsidRPr="00000000">
        <w:rPr>
          <w:rtl w:val="0"/>
        </w:rPr>
        <w:t xml:space="preserve">Integrity: Preserve personal and professional integrity in all actions and decisions; refuse any improper influence and ensure truthful representation of one’s results and resources.</w:t>
      </w:r>
    </w:p>
    <w:p w:rsidR="00000000" w:rsidDel="00000000" w:rsidP="00000000" w:rsidRDefault="00000000" w:rsidRPr="00000000" w14:paraId="00000016">
      <w:pPr>
        <w:numPr>
          <w:ilvl w:val="0"/>
          <w:numId w:val="2"/>
        </w:numPr>
        <w:ind w:left="1440" w:hanging="360"/>
        <w:rPr/>
      </w:pPr>
      <w:r w:rsidDel="00000000" w:rsidR="00000000" w:rsidRPr="00000000">
        <w:rPr>
          <w:rtl w:val="0"/>
        </w:rPr>
        <w:t xml:space="preserve">Transparency: Work with clarity; share relevant information in a timely manner in funding allocation, decision-making, public procurement, and reporting processes.</w:t>
      </w:r>
    </w:p>
    <w:p w:rsidR="00000000" w:rsidDel="00000000" w:rsidP="00000000" w:rsidRDefault="00000000" w:rsidRPr="00000000" w14:paraId="00000017">
      <w:pPr>
        <w:numPr>
          <w:ilvl w:val="0"/>
          <w:numId w:val="2"/>
        </w:numPr>
        <w:ind w:left="1440" w:hanging="360"/>
        <w:rPr/>
      </w:pPr>
      <w:r w:rsidDel="00000000" w:rsidR="00000000" w:rsidRPr="00000000">
        <w:rPr>
          <w:rtl w:val="0"/>
        </w:rPr>
        <w:t xml:space="preserve">Inclusion: Actively include all persons; prohibit discrimination on any ground, with particular focus on empowering women, youth, and marginalized groups in program activities.</w:t>
      </w:r>
    </w:p>
    <w:p w:rsidR="00000000" w:rsidDel="00000000" w:rsidP="00000000" w:rsidRDefault="00000000" w:rsidRPr="00000000" w14:paraId="00000018">
      <w:pPr>
        <w:numPr>
          <w:ilvl w:val="0"/>
          <w:numId w:val="2"/>
        </w:numPr>
        <w:ind w:left="1440" w:hanging="360"/>
        <w:rPr/>
      </w:pPr>
      <w:r w:rsidDel="00000000" w:rsidR="00000000" w:rsidRPr="00000000">
        <w:rPr>
          <w:rtl w:val="0"/>
        </w:rPr>
        <w:t xml:space="preserve">Accountability: Clearly accept and carry out assigned duties; be responsible for the prudent use of resources and promptly respond to observed irregularities or rule violations.</w:t>
      </w:r>
    </w:p>
    <w:p w:rsidR="00000000" w:rsidDel="00000000" w:rsidP="00000000" w:rsidRDefault="00000000" w:rsidRPr="00000000" w14:paraId="00000019">
      <w:pPr>
        <w:rPr/>
      </w:pPr>
      <w:r w:rsidDel="00000000" w:rsidR="00000000" w:rsidRPr="00000000">
        <w:rPr>
          <w:rtl w:val="0"/>
        </w:rPr>
        <w:t xml:space="preserve">Every participant is personally responsible for applying these principles regardless of position, duties, or level of involvement in the program.</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3"/>
        </w:numPr>
        <w:ind w:left="720" w:hanging="360"/>
        <w:rPr>
          <w:b w:val="1"/>
          <w:bCs w:val="1"/>
        </w:rPr>
      </w:pPr>
      <w:r w:rsidDel="00000000" w:rsidR="00000000" w:rsidRPr="00000000">
        <w:rPr>
          <w:b w:val="1"/>
          <w:bCs w:val="1"/>
          <w:rtl w:val="0"/>
        </w:rPr>
        <w:t xml:space="preserve">Management of Conflict of Interest</w:t>
      </w:r>
    </w:p>
    <w:p w:rsidR="00000000" w:rsidDel="00000000" w:rsidP="00000000" w:rsidRDefault="00000000" w:rsidRPr="00000000" w14:paraId="0000001C">
      <w:pPr>
        <w:ind w:left="720" w:firstLine="0"/>
        <w:rPr>
          <w:b w:val="1"/>
          <w:bCs w:val="1"/>
        </w:rPr>
      </w:pPr>
      <w:r w:rsidDel="00000000" w:rsidR="00000000" w:rsidRPr="00000000">
        <w:rPr>
          <w:rtl w:val="0"/>
        </w:rPr>
      </w:r>
    </w:p>
    <w:p w:rsidR="00000000" w:rsidDel="00000000" w:rsidP="00000000" w:rsidRDefault="00000000" w:rsidRPr="00000000" w14:paraId="0000001D">
      <w:pPr>
        <w:numPr>
          <w:ilvl w:val="0"/>
          <w:numId w:val="4"/>
        </w:numPr>
        <w:ind w:left="720" w:hanging="360"/>
        <w:rPr/>
      </w:pPr>
      <w:r w:rsidDel="00000000" w:rsidR="00000000" w:rsidRPr="00000000">
        <w:rPr>
          <w:b w:val="1"/>
          <w:bCs w:val="1"/>
          <w:rtl w:val="0"/>
        </w:rPr>
        <w:t xml:space="preserve">Definition and recognition of conflict of interest</w:t>
      </w:r>
      <w:r w:rsidDel="00000000" w:rsidR="00000000" w:rsidRPr="00000000">
        <w:rPr>
          <w:rtl w:val="0"/>
        </w:rPr>
        <w:br w:type="textWrapping"/>
        <w:t xml:space="preserve">A conflict of interest is any situation in which the private interest of an engaged person (or persons related to them) affects, may affect, or appears to affect the objectivity and impartiality of actions within the program, or constitutes abuse of position for personal or third-party gain.</w:t>
      </w:r>
    </w:p>
    <w:p w:rsidR="00000000" w:rsidDel="00000000" w:rsidP="00000000" w:rsidRDefault="00000000" w:rsidRPr="00000000" w14:paraId="0000001E">
      <w:pPr>
        <w:numPr>
          <w:ilvl w:val="0"/>
          <w:numId w:val="4"/>
        </w:numPr>
        <w:ind w:left="720" w:hanging="360"/>
        <w:rPr/>
      </w:pPr>
      <w:r w:rsidDel="00000000" w:rsidR="00000000" w:rsidRPr="00000000">
        <w:rPr>
          <w:b w:val="1"/>
          <w:bCs w:val="1"/>
          <w:rtl w:val="0"/>
        </w:rPr>
        <w:t xml:space="preserve">Disclosure and procedure</w:t>
      </w:r>
      <w:r w:rsidDel="00000000" w:rsidR="00000000" w:rsidRPr="00000000">
        <w:rPr>
          <w:rtl w:val="0"/>
        </w:rPr>
        <w:br w:type="textWrapping"/>
        <w:t xml:space="preserve">Any member (employee, commissioner, collaborator) must immediately and in writing notify their direct supervisor or the competent ethics body of any actual, potential, or apparent conflict of interest, no later than five days after becoming aware of it or at the moment of starting work. In case of doubt, participation in related procedures is prohibited until the conflict situation is clearly defined and resolved.</w:t>
      </w:r>
    </w:p>
    <w:p w:rsidR="00000000" w:rsidDel="00000000" w:rsidP="00000000" w:rsidRDefault="00000000" w:rsidRPr="00000000" w14:paraId="0000001F">
      <w:pPr>
        <w:numPr>
          <w:ilvl w:val="0"/>
          <w:numId w:val="4"/>
        </w:numPr>
        <w:ind w:left="720" w:hanging="360"/>
        <w:rPr/>
      </w:pPr>
      <w:r w:rsidDel="00000000" w:rsidR="00000000" w:rsidRPr="00000000">
        <w:rPr>
          <w:b w:val="1"/>
          <w:bCs w:val="1"/>
          <w:rtl w:val="0"/>
        </w:rPr>
        <w:t xml:space="preserve">Mechanisms for resolving conflicts</w:t>
      </w:r>
      <w:r w:rsidDel="00000000" w:rsidR="00000000" w:rsidRPr="00000000">
        <w:rPr>
          <w:rtl w:val="0"/>
        </w:rPr>
        <w:br w:type="textWrapping"/>
        <w:t xml:space="preserve">The disclosure is reviewed immediately; the ethics committee, or in its absence a three-member ad hoc panel, issues recommended measures (recusal from the procedure, temporary withdrawal, internal control) which all parties must follow. Failure to disclose or resolve a conflict of interest will be regarded as a serious breach of official duty.</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numPr>
          <w:ilvl w:val="0"/>
          <w:numId w:val="5"/>
        </w:numPr>
        <w:ind w:left="720" w:hanging="360"/>
        <w:rPr>
          <w:b w:val="1"/>
          <w:bCs w:val="1"/>
        </w:rPr>
      </w:pPr>
      <w:r w:rsidDel="00000000" w:rsidR="00000000" w:rsidRPr="00000000">
        <w:rPr>
          <w:b w:val="1"/>
          <w:bCs w:val="1"/>
          <w:rtl w:val="0"/>
        </w:rPr>
        <w:t xml:space="preserve">Prohibition on Accepting Gifts and Services</w:t>
      </w:r>
    </w:p>
    <w:p w:rsidR="00000000" w:rsidDel="00000000" w:rsidP="00000000" w:rsidRDefault="00000000" w:rsidRPr="00000000" w14:paraId="00000022">
      <w:pPr>
        <w:ind w:left="720" w:firstLine="0"/>
        <w:rPr>
          <w:b w:val="1"/>
          <w:bCs w:val="1"/>
        </w:rPr>
      </w:pPr>
      <w:r w:rsidDel="00000000" w:rsidR="00000000" w:rsidRPr="00000000">
        <w:rPr>
          <w:rtl w:val="0"/>
        </w:rPr>
      </w:r>
    </w:p>
    <w:p w:rsidR="00000000" w:rsidDel="00000000" w:rsidP="00000000" w:rsidRDefault="00000000" w:rsidRPr="00000000" w14:paraId="00000023">
      <w:pPr>
        <w:numPr>
          <w:ilvl w:val="0"/>
          <w:numId w:val="6"/>
        </w:numPr>
        <w:ind w:left="720" w:hanging="360"/>
        <w:rPr/>
      </w:pPr>
      <w:r w:rsidDel="00000000" w:rsidR="00000000" w:rsidRPr="00000000">
        <w:rPr>
          <w:b w:val="1"/>
          <w:bCs w:val="1"/>
          <w:rtl w:val="0"/>
        </w:rPr>
        <w:t xml:space="preserve">Basic rules</w:t>
      </w:r>
      <w:r w:rsidDel="00000000" w:rsidR="00000000" w:rsidRPr="00000000">
        <w:rPr>
          <w:rtl w:val="0"/>
        </w:rPr>
        <w:br w:type="textWrapping"/>
        <w:t xml:space="preserve">All actors in the program are strictly prohibited from accepting gifts, money, services, discounts, travel, hospitality, contracted benefits, or any other advantage from individuals, companies, organizations or institutions that do business with REDI, receive or are applicants for funds, contracts, or business cooperation.</w:t>
      </w:r>
    </w:p>
    <w:p w:rsidR="00000000" w:rsidDel="00000000" w:rsidP="00000000" w:rsidRDefault="00000000" w:rsidRPr="00000000" w14:paraId="00000024">
      <w:pPr>
        <w:numPr>
          <w:ilvl w:val="0"/>
          <w:numId w:val="6"/>
        </w:numPr>
        <w:ind w:left="720" w:hanging="360"/>
        <w:rPr/>
      </w:pPr>
      <w:r w:rsidDel="00000000" w:rsidR="00000000" w:rsidRPr="00000000">
        <w:rPr>
          <w:b w:val="1"/>
          <w:bCs w:val="1"/>
          <w:rtl w:val="0"/>
        </w:rPr>
        <w:t xml:space="preserve">Exceptions and limits</w:t>
      </w:r>
      <w:r w:rsidDel="00000000" w:rsidR="00000000" w:rsidRPr="00000000">
        <w:rPr>
          <w:rtl w:val="0"/>
        </w:rPr>
        <w:br w:type="textWrapping"/>
        <w:t xml:space="preserve">Only ceremonial and modest-value gifts are permitted (up to 10% of the average monthly salary in Serbia), and only within formal, international, and ceremonial contexts. The total value of gifts received in a year must not exceed one average monthly salary. Any accepted gift, even if permitted, must be recorded and reported in writing to the competent authority within ten days.</w:t>
      </w:r>
    </w:p>
    <w:p w:rsidR="00000000" w:rsidDel="00000000" w:rsidP="00000000" w:rsidRDefault="00000000" w:rsidRPr="00000000" w14:paraId="00000025">
      <w:pPr>
        <w:numPr>
          <w:ilvl w:val="0"/>
          <w:numId w:val="6"/>
        </w:numPr>
        <w:ind w:left="720" w:hanging="360"/>
        <w:rPr/>
      </w:pPr>
      <w:r w:rsidDel="00000000" w:rsidR="00000000" w:rsidRPr="00000000">
        <w:rPr>
          <w:b w:val="1"/>
          <w:bCs w:val="1"/>
          <w:rtl w:val="0"/>
        </w:rPr>
        <w:t xml:space="preserve">Consequences and recordkeeping</w:t>
      </w:r>
      <w:r w:rsidDel="00000000" w:rsidR="00000000" w:rsidRPr="00000000">
        <w:rPr>
          <w:rtl w:val="0"/>
        </w:rPr>
        <w:br w:type="textWrapping"/>
        <w:t xml:space="preserve">Exceeding these limits, failure to report, or misuse of this rule entails disciplinary responsibility, and unregistered gifts become the property of the organization. The catalogue of received gifts is public and is submitted within the prescribed timeframe to the competent Anti-Corruption Agency.</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numPr>
          <w:ilvl w:val="0"/>
          <w:numId w:val="7"/>
        </w:numPr>
        <w:ind w:left="720" w:hanging="360"/>
        <w:rPr>
          <w:b w:val="1"/>
          <w:bCs w:val="1"/>
        </w:rPr>
      </w:pPr>
      <w:r w:rsidDel="00000000" w:rsidR="00000000" w:rsidRPr="00000000">
        <w:rPr>
          <w:b w:val="1"/>
          <w:bCs w:val="1"/>
          <w:rtl w:val="0"/>
        </w:rPr>
        <w:t xml:space="preserve">Ethical Conduct in Procurement Processes and Use of Funds</w:t>
      </w:r>
    </w:p>
    <w:p w:rsidR="00000000" w:rsidDel="00000000" w:rsidP="00000000" w:rsidRDefault="00000000" w:rsidRPr="00000000" w14:paraId="00000028">
      <w:pPr>
        <w:ind w:left="720" w:firstLine="0"/>
        <w:rPr>
          <w:b w:val="1"/>
          <w:bCs w:val="1"/>
        </w:rPr>
      </w:pPr>
      <w:r w:rsidDel="00000000" w:rsidR="00000000" w:rsidRPr="00000000">
        <w:rPr>
          <w:rtl w:val="0"/>
        </w:rPr>
      </w:r>
    </w:p>
    <w:p w:rsidR="00000000" w:rsidDel="00000000" w:rsidP="00000000" w:rsidRDefault="00000000" w:rsidRPr="00000000" w14:paraId="00000029">
      <w:pPr>
        <w:numPr>
          <w:ilvl w:val="0"/>
          <w:numId w:val="8"/>
        </w:numPr>
        <w:ind w:left="720" w:hanging="360"/>
        <w:rPr/>
      </w:pPr>
      <w:r w:rsidDel="00000000" w:rsidR="00000000" w:rsidRPr="00000000">
        <w:rPr>
          <w:b w:val="1"/>
          <w:bCs w:val="1"/>
          <w:rtl w:val="0"/>
        </w:rPr>
        <w:t xml:space="preserve">Public procurement and contracting</w:t>
        <w:br w:type="textWrapping"/>
      </w:r>
      <w:r w:rsidDel="00000000" w:rsidR="00000000" w:rsidRPr="00000000">
        <w:rPr>
          <w:rtl w:val="0"/>
        </w:rPr>
        <w:t xml:space="preserve">All procurement processes, selection of suppliers, subcontractors, external collaborators and other business activities funded by grant resources must be transparent, based on fair competition, public calls, and objective evaluation of bids, with a duty to avoid all forms of conflict of interest and favoritism, in accordance with REDI rules and European Union regulations.</w:t>
      </w:r>
    </w:p>
    <w:p w:rsidR="00000000" w:rsidDel="00000000" w:rsidP="00000000" w:rsidRDefault="00000000" w:rsidRPr="00000000" w14:paraId="0000002A">
      <w:pPr>
        <w:numPr>
          <w:ilvl w:val="0"/>
          <w:numId w:val="8"/>
        </w:numPr>
        <w:ind w:left="720" w:hanging="360"/>
        <w:rPr/>
      </w:pPr>
      <w:r w:rsidDel="00000000" w:rsidR="00000000" w:rsidRPr="00000000">
        <w:rPr>
          <w:b w:val="1"/>
          <w:bCs w:val="1"/>
          <w:rtl w:val="0"/>
        </w:rPr>
        <w:t xml:space="preserve">Use of funds</w:t>
      </w:r>
      <w:r w:rsidDel="00000000" w:rsidR="00000000" w:rsidRPr="00000000">
        <w:rPr>
          <w:rtl w:val="0"/>
        </w:rPr>
        <w:br w:type="textWrapping"/>
        <w:t xml:space="preserve">All funds must be used exclusively for the purposes and activities defined in approved projects and budget lines, without reallocation or change of purpose without written consent and additional checks. Discussion and approval of cost changes or transfers require consultations with legal and financial experts and approval by REDI program management and/or the donor.</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numPr>
          <w:ilvl w:val="0"/>
          <w:numId w:val="9"/>
        </w:numPr>
        <w:ind w:left="720" w:hanging="360"/>
        <w:rPr>
          <w:b w:val="1"/>
          <w:bCs w:val="1"/>
        </w:rPr>
      </w:pPr>
      <w:r w:rsidDel="00000000" w:rsidR="00000000" w:rsidRPr="00000000">
        <w:rPr>
          <w:b w:val="1"/>
          <w:bCs w:val="1"/>
          <w:rtl w:val="0"/>
        </w:rPr>
        <w:t xml:space="preserve">Protection of Personal Data</w:t>
      </w:r>
    </w:p>
    <w:p w:rsidR="00000000" w:rsidDel="00000000" w:rsidP="00000000" w:rsidRDefault="00000000" w:rsidRPr="00000000" w14:paraId="0000002D">
      <w:pPr>
        <w:ind w:left="720" w:firstLine="0"/>
        <w:rPr>
          <w:b w:val="1"/>
          <w:bCs w:val="1"/>
        </w:rPr>
      </w:pPr>
      <w:r w:rsidDel="00000000" w:rsidR="00000000" w:rsidRPr="00000000">
        <w:rPr>
          <w:rtl w:val="0"/>
        </w:rPr>
      </w:r>
    </w:p>
    <w:p w:rsidR="00000000" w:rsidDel="00000000" w:rsidP="00000000" w:rsidRDefault="00000000" w:rsidRPr="00000000" w14:paraId="0000002E">
      <w:pPr>
        <w:numPr>
          <w:ilvl w:val="0"/>
          <w:numId w:val="10"/>
        </w:numPr>
        <w:ind w:left="720" w:hanging="360"/>
        <w:rPr/>
      </w:pPr>
      <w:r w:rsidDel="00000000" w:rsidR="00000000" w:rsidRPr="00000000">
        <w:rPr>
          <w:b w:val="1"/>
          <w:bCs w:val="1"/>
          <w:rtl w:val="0"/>
        </w:rPr>
        <w:t xml:space="preserve">Obligations and principles</w:t>
      </w:r>
      <w:r w:rsidDel="00000000" w:rsidR="00000000" w:rsidRPr="00000000">
        <w:rPr>
          <w:rtl w:val="0"/>
        </w:rPr>
        <w:br w:type="textWrapping"/>
        <w:t xml:space="preserve">Processing of personal data in all program activities is conducted in accordance with the Personal Data Protection Act, relying on the principles of lawfulness, respect for privacy, purpose limitation, data minimization, and transparency.</w:t>
      </w:r>
    </w:p>
    <w:p w:rsidR="00000000" w:rsidDel="00000000" w:rsidP="00000000" w:rsidRDefault="00000000" w:rsidRPr="00000000" w14:paraId="0000002F">
      <w:pPr>
        <w:numPr>
          <w:ilvl w:val="0"/>
          <w:numId w:val="10"/>
        </w:numPr>
        <w:ind w:left="720" w:hanging="360"/>
        <w:rPr/>
      </w:pPr>
      <w:r w:rsidDel="00000000" w:rsidR="00000000" w:rsidRPr="00000000">
        <w:rPr>
          <w:b w:val="1"/>
          <w:bCs w:val="1"/>
          <w:rtl w:val="0"/>
        </w:rPr>
        <w:t xml:space="preserve">Technical and organizational security measures</w:t>
      </w:r>
      <w:r w:rsidDel="00000000" w:rsidR="00000000" w:rsidRPr="00000000">
        <w:rPr>
          <w:rtl w:val="0"/>
        </w:rPr>
        <w:br w:type="textWrapping"/>
        <w:t xml:space="preserve">REDI must implement technical, organizational, and personnel measures (including pseudonymization and encryption) to ensure the highest level of data security; data may be used and stored only as long as necessary to perform the specific activities agreed.</w:t>
      </w:r>
    </w:p>
    <w:p w:rsidR="00000000" w:rsidDel="00000000" w:rsidP="00000000" w:rsidRDefault="00000000" w:rsidRPr="00000000" w14:paraId="00000030">
      <w:pPr>
        <w:numPr>
          <w:ilvl w:val="0"/>
          <w:numId w:val="10"/>
        </w:numPr>
        <w:ind w:left="720" w:hanging="360"/>
        <w:rPr/>
      </w:pPr>
      <w:r w:rsidDel="00000000" w:rsidR="00000000" w:rsidRPr="00000000">
        <w:rPr>
          <w:b w:val="1"/>
          <w:bCs w:val="1"/>
          <w:rtl w:val="0"/>
        </w:rPr>
        <w:t xml:space="preserve">Rights of individuals and procedure</w:t>
      </w:r>
      <w:r w:rsidDel="00000000" w:rsidR="00000000" w:rsidRPr="00000000">
        <w:rPr>
          <w:rtl w:val="0"/>
        </w:rPr>
        <w:br w:type="textWrapping"/>
        <w:t xml:space="preserve">Every user or participant has the right to request access to, correction of, or deletion of their personal data. In the event of a data breach, REDI must without delay notify the Commissioner for Information of Public Importance and Personal Data Protection and the affected person.</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numPr>
          <w:ilvl w:val="0"/>
          <w:numId w:val="11"/>
        </w:numPr>
        <w:ind w:left="720" w:hanging="360"/>
        <w:rPr>
          <w:b w:val="1"/>
          <w:bCs w:val="1"/>
        </w:rPr>
      </w:pPr>
      <w:r w:rsidDel="00000000" w:rsidR="00000000" w:rsidRPr="00000000">
        <w:rPr>
          <w:b w:val="1"/>
          <w:bCs w:val="1"/>
          <w:rtl w:val="0"/>
        </w:rPr>
        <w:t xml:space="preserve">Disciplinary Measures and Sanctions</w:t>
      </w:r>
    </w:p>
    <w:p w:rsidR="00000000" w:rsidDel="00000000" w:rsidP="00000000" w:rsidRDefault="00000000" w:rsidRPr="00000000" w14:paraId="00000033">
      <w:pPr>
        <w:ind w:left="720" w:firstLine="0"/>
        <w:rPr>
          <w:b w:val="1"/>
          <w:bCs w:val="1"/>
        </w:rPr>
      </w:pPr>
      <w:r w:rsidDel="00000000" w:rsidR="00000000" w:rsidRPr="00000000">
        <w:rPr>
          <w:rtl w:val="0"/>
        </w:rPr>
      </w:r>
    </w:p>
    <w:p w:rsidR="00000000" w:rsidDel="00000000" w:rsidP="00000000" w:rsidRDefault="00000000" w:rsidRPr="00000000" w14:paraId="00000034">
      <w:pPr>
        <w:numPr>
          <w:ilvl w:val="0"/>
          <w:numId w:val="12"/>
        </w:numPr>
        <w:ind w:left="720" w:hanging="360"/>
        <w:rPr/>
      </w:pPr>
      <w:r w:rsidDel="00000000" w:rsidR="00000000" w:rsidRPr="00000000">
        <w:rPr>
          <w:b w:val="1"/>
          <w:bCs w:val="1"/>
          <w:rtl w:val="0"/>
        </w:rPr>
        <w:t xml:space="preserve">Types of disciplinary sanctions</w:t>
      </w:r>
      <w:r w:rsidDel="00000000" w:rsidR="00000000" w:rsidRPr="00000000">
        <w:rPr>
          <w:rtl w:val="0"/>
        </w:rPr>
        <w:br w:type="textWrapping"/>
        <w:t xml:space="preserve">For violations of the guidelines, the following disciplinary measures may be imposed in accordance with the Labour Law and internal acts:</w:t>
      </w:r>
    </w:p>
    <w:p w:rsidR="00000000" w:rsidDel="00000000" w:rsidP="00000000" w:rsidRDefault="00000000" w:rsidRPr="00000000" w14:paraId="00000035">
      <w:pPr>
        <w:numPr>
          <w:ilvl w:val="0"/>
          <w:numId w:val="13"/>
        </w:numPr>
        <w:ind w:left="720" w:hanging="360"/>
        <w:rPr/>
      </w:pPr>
      <w:r w:rsidDel="00000000" w:rsidR="00000000" w:rsidRPr="00000000">
        <w:rPr>
          <w:rtl w:val="0"/>
        </w:rPr>
        <w:t xml:space="preserve">Temporary suspension from work without pay (up to 15 days);</w:t>
      </w:r>
    </w:p>
    <w:p w:rsidR="00000000" w:rsidDel="00000000" w:rsidP="00000000" w:rsidRDefault="00000000" w:rsidRPr="00000000" w14:paraId="00000036">
      <w:pPr>
        <w:numPr>
          <w:ilvl w:val="0"/>
          <w:numId w:val="13"/>
        </w:numPr>
        <w:ind w:left="720" w:hanging="360"/>
        <w:rPr/>
      </w:pPr>
      <w:r w:rsidDel="00000000" w:rsidR="00000000" w:rsidRPr="00000000">
        <w:rPr>
          <w:rtl w:val="0"/>
        </w:rPr>
        <w:t xml:space="preserve">Monetary fine (up to 20% of monthly salary, for up to three months);</w:t>
      </w:r>
    </w:p>
    <w:p w:rsidR="00000000" w:rsidDel="00000000" w:rsidP="00000000" w:rsidRDefault="00000000" w:rsidRPr="00000000" w14:paraId="00000037">
      <w:pPr>
        <w:numPr>
          <w:ilvl w:val="0"/>
          <w:numId w:val="13"/>
        </w:numPr>
        <w:ind w:left="720" w:hanging="360"/>
        <w:rPr/>
      </w:pPr>
      <w:r w:rsidDel="00000000" w:rsidR="00000000" w:rsidRPr="00000000">
        <w:rPr>
          <w:rtl w:val="0"/>
        </w:rPr>
        <w:t xml:space="preserve">Warning with notice of termination (for repeated violation within six months);</w:t>
      </w:r>
    </w:p>
    <w:p w:rsidR="00000000" w:rsidDel="00000000" w:rsidP="00000000" w:rsidRDefault="00000000" w:rsidRPr="00000000" w14:paraId="00000038">
      <w:pPr>
        <w:numPr>
          <w:ilvl w:val="0"/>
          <w:numId w:val="13"/>
        </w:numPr>
        <w:ind w:left="720" w:hanging="360"/>
        <w:rPr/>
      </w:pPr>
      <w:r w:rsidDel="00000000" w:rsidR="00000000" w:rsidRPr="00000000">
        <w:rPr>
          <w:rtl w:val="0"/>
        </w:rPr>
        <w:t xml:space="preserve">Termination of employment contract (for serious, intentional, or repeated violations);</w:t>
      </w:r>
    </w:p>
    <w:p w:rsidR="00000000" w:rsidDel="00000000" w:rsidP="00000000" w:rsidRDefault="00000000" w:rsidRPr="00000000" w14:paraId="00000039">
      <w:pPr>
        <w:numPr>
          <w:ilvl w:val="0"/>
          <w:numId w:val="13"/>
        </w:numPr>
        <w:ind w:left="720" w:hanging="360"/>
        <w:rPr/>
      </w:pPr>
      <w:r w:rsidDel="00000000" w:rsidR="00000000" w:rsidRPr="00000000">
        <w:rPr>
          <w:rtl w:val="0"/>
        </w:rPr>
        <w:t xml:space="preserve">Public reprimand or recommendation for removal of a board member if the breach is serious and undermines trust in the program.</w:t>
      </w:r>
    </w:p>
    <w:p w:rsidR="00000000" w:rsidDel="00000000" w:rsidP="00000000" w:rsidRDefault="00000000" w:rsidRPr="00000000" w14:paraId="0000003A">
      <w:pPr>
        <w:numPr>
          <w:ilvl w:val="0"/>
          <w:numId w:val="14"/>
        </w:numPr>
        <w:ind w:left="720" w:hanging="360"/>
        <w:rPr/>
      </w:pPr>
      <w:r w:rsidDel="00000000" w:rsidR="00000000" w:rsidRPr="00000000">
        <w:rPr>
          <w:b w:val="1"/>
          <w:bCs w:val="1"/>
          <w:rtl w:val="0"/>
        </w:rPr>
        <w:t xml:space="preserve">Procedure</w:t>
      </w:r>
      <w:r w:rsidDel="00000000" w:rsidR="00000000" w:rsidRPr="00000000">
        <w:rPr>
          <w:rtl w:val="0"/>
        </w:rPr>
        <w:br w:type="textWrapping"/>
        <w:t xml:space="preserve">Before a final measure is taken, the person will receive a written notice describing the breach, supporting evidence, and at least eight days to respond to the allegations. The trade union, if present, is informed of the statement. The final measure is issued in writing and may be contested in court within 60 days.</w:t>
      </w:r>
    </w:p>
    <w:p w:rsidR="00000000" w:rsidDel="00000000" w:rsidP="00000000" w:rsidRDefault="00000000" w:rsidRPr="00000000" w14:paraId="0000003B">
      <w:pPr>
        <w:numPr>
          <w:ilvl w:val="0"/>
          <w:numId w:val="14"/>
        </w:numPr>
        <w:ind w:left="720" w:hanging="360"/>
        <w:rPr/>
      </w:pPr>
      <w:r w:rsidDel="00000000" w:rsidR="00000000" w:rsidRPr="00000000">
        <w:rPr>
          <w:b w:val="1"/>
          <w:bCs w:val="1"/>
          <w:rtl w:val="0"/>
        </w:rPr>
        <w:t xml:space="preserve">Cumulative liability</w:t>
      </w:r>
      <w:r w:rsidDel="00000000" w:rsidR="00000000" w:rsidRPr="00000000">
        <w:rPr>
          <w:rtl w:val="0"/>
        </w:rPr>
        <w:br w:type="textWrapping"/>
        <w:t xml:space="preserve">In addition to disciplinary responsibility, the same person may bear material, administrative, or criminal liability if the conduct contains elements of an offense or criminal act.</w:t>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numPr>
          <w:ilvl w:val="0"/>
          <w:numId w:val="15"/>
        </w:numPr>
        <w:ind w:left="720" w:hanging="360"/>
        <w:rPr/>
      </w:pPr>
      <w:r w:rsidDel="00000000" w:rsidR="00000000" w:rsidRPr="00000000">
        <w:rPr>
          <w:b w:val="1"/>
          <w:bCs w:val="1"/>
          <w:rtl w:val="0"/>
        </w:rPr>
        <w:t xml:space="preserve">Final Provisions</w:t>
      </w:r>
    </w:p>
    <w:p w:rsidR="00000000" w:rsidDel="00000000" w:rsidP="00000000" w:rsidRDefault="00000000" w:rsidRPr="00000000" w14:paraId="0000003E">
      <w:pPr>
        <w:ind w:left="0" w:firstLine="0"/>
        <w:rPr/>
      </w:pPr>
      <w:r w:rsidDel="00000000" w:rsidR="00000000" w:rsidRPr="00000000">
        <w:rPr>
          <w:rtl w:val="0"/>
        </w:rPr>
        <w:br w:type="textWrapping"/>
        <w:t xml:space="preserve">This document is aligned with:</w:t>
      </w:r>
    </w:p>
    <w:p w:rsidR="00000000" w:rsidDel="00000000" w:rsidP="00000000" w:rsidRDefault="00000000" w:rsidRPr="00000000" w14:paraId="0000003F">
      <w:pPr>
        <w:numPr>
          <w:ilvl w:val="0"/>
          <w:numId w:val="16"/>
        </w:numPr>
        <w:spacing w:after="0" w:afterAutospacing="0" w:before="240" w:lineRule="auto"/>
        <w:ind w:left="720" w:hanging="360"/>
        <w:rPr>
          <w:rFonts w:ascii="Times New Roman" w:cs="Times New Roman" w:eastAsia="Times New Roman" w:hAnsi="Times New Roman"/>
          <w:sz w:val="22"/>
          <w:szCs w:val="22"/>
        </w:rPr>
      </w:pPr>
      <w:r w:rsidDel="00000000" w:rsidR="00000000" w:rsidRPr="00000000">
        <w:rPr>
          <w:rtl w:val="0"/>
        </w:rPr>
        <w:t xml:space="preserve">the Law on Prevention of Corruption (</w:t>
      </w:r>
      <w:r w:rsidDel="00000000" w:rsidR="00000000" w:rsidRPr="00000000">
        <w:rPr>
          <w:i w:val="1"/>
          <w:iCs w:val="1"/>
          <w:rtl w:val="0"/>
        </w:rPr>
        <w:t xml:space="preserve">Official Gazette of Montenegro</w:t>
      </w:r>
      <w:r w:rsidDel="00000000" w:rsidR="00000000" w:rsidRPr="00000000">
        <w:rPr>
          <w:rtl w:val="0"/>
        </w:rPr>
        <w:t xml:space="preserve">);</w:t>
      </w:r>
    </w:p>
    <w:p w:rsidR="00000000" w:rsidDel="00000000" w:rsidP="00000000" w:rsidRDefault="00000000" w:rsidRPr="00000000" w14:paraId="00000040">
      <w:pPr>
        <w:numPr>
          <w:ilvl w:val="0"/>
          <w:numId w:val="16"/>
        </w:numP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tl w:val="0"/>
        </w:rPr>
        <w:t xml:space="preserve">the Law on Personal Data Protection (</w:t>
      </w:r>
      <w:r w:rsidDel="00000000" w:rsidR="00000000" w:rsidRPr="00000000">
        <w:rPr>
          <w:i w:val="1"/>
          <w:iCs w:val="1"/>
          <w:rtl w:val="0"/>
        </w:rPr>
        <w:t xml:space="preserve">Official Gazette of Montenegro</w:t>
      </w:r>
      <w:r w:rsidDel="00000000" w:rsidR="00000000" w:rsidRPr="00000000">
        <w:rPr>
          <w:rtl w:val="0"/>
        </w:rPr>
        <w:t xml:space="preserve">);</w:t>
      </w:r>
    </w:p>
    <w:p w:rsidR="00000000" w:rsidDel="00000000" w:rsidP="00000000" w:rsidRDefault="00000000" w:rsidRPr="00000000" w14:paraId="00000041">
      <w:pPr>
        <w:numPr>
          <w:ilvl w:val="0"/>
          <w:numId w:val="16"/>
        </w:numP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tl w:val="0"/>
        </w:rPr>
        <w:t xml:space="preserve">the Labour Law;</w:t>
      </w:r>
    </w:p>
    <w:p w:rsidR="00000000" w:rsidDel="00000000" w:rsidP="00000000" w:rsidRDefault="00000000" w:rsidRPr="00000000" w14:paraId="00000042">
      <w:pPr>
        <w:numPr>
          <w:ilvl w:val="0"/>
          <w:numId w:val="16"/>
        </w:numP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tl w:val="0"/>
        </w:rPr>
        <w:t xml:space="preserve">the Law on Protection of Whistleblowers;</w:t>
      </w:r>
    </w:p>
    <w:p w:rsidR="00000000" w:rsidDel="00000000" w:rsidP="00000000" w:rsidRDefault="00000000" w:rsidRPr="00000000" w14:paraId="00000043">
      <w:pPr>
        <w:numPr>
          <w:ilvl w:val="0"/>
          <w:numId w:val="16"/>
        </w:numPr>
        <w:ind w:left="720" w:hanging="360"/>
        <w:rPr/>
      </w:pPr>
      <w:r w:rsidDel="00000000" w:rsidR="00000000" w:rsidRPr="00000000">
        <w:rPr>
          <w:rtl w:val="0"/>
        </w:rPr>
        <w:t xml:space="preserve">accompanying regulations and REDI internal acts.</w:t>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In case of any conflict between a provision of this document and applicable law, the statutory provision shall prevail, and the internal act will be aligned with the new regulation within the necessary timeframe.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Date: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Name and Surname: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Signature:</w:t>
      </w:r>
    </w:p>
    <w:sectPr>
      <w:headerReference r:id="rId9" w:type="default"/>
      <w:headerReference r:id="rId10" w:type="first"/>
      <w:headerReference r:id="rId11" w:type="even"/>
      <w:footerReference r:id="rId12" w:type="default"/>
      <w:footerReference r:id="rId13" w:type="first"/>
      <w:footerReference r:id="rId14" w:type="even"/>
      <w:pgSz w:h="16845" w:w="11920" w:orient="portrait"/>
      <w:pgMar w:bottom="869" w:top="1440" w:left="1200" w:right="121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-761998</wp:posOffset>
          </wp:positionH>
          <wp:positionV relativeFrom="paragraph">
            <wp:posOffset>-2623818</wp:posOffset>
          </wp:positionV>
          <wp:extent cx="7562850" cy="3092450"/>
          <wp:effectExtent b="0" l="0" r="0" t="0"/>
          <wp:wrapNone/>
          <wp:docPr descr="A green and white flag&#10;&#10;AI-generated content may be incorrect." id="1403671633" name="image1.png"/>
          <a:graphic>
            <a:graphicData uri="http://schemas.openxmlformats.org/drawingml/2006/picture">
              <pic:pic>
                <pic:nvPicPr>
                  <pic:cNvPr descr="A green and white flag&#10;&#10;AI-generated content may be incorrect." id="0" name="image1.png"/>
                  <pic:cNvPicPr preferRelativeResize="0"/>
                </pic:nvPicPr>
                <pic:blipFill>
                  <a:blip r:embed="rId1"/>
                  <a:srcRect b="-2364" l="13770" r="0" t="2260"/>
                  <a:stretch>
                    <a:fillRect/>
                  </a:stretch>
                </pic:blipFill>
                <pic:spPr>
                  <a:xfrm>
                    <a:off x="0" y="0"/>
                    <a:ext cx="7562850" cy="3092450"/>
                  </a:xfrm>
                  <a:prstGeom prst="rect"/>
                  <a:ln/>
                </pic:spPr>
              </pic:pic>
            </a:graphicData>
          </a:graphic>
        </wp:anchor>
      </w:drawing>
    </w:r>
  </w:p>
  <w:p w:rsidR="00000000" w:rsidDel="00000000" w:rsidP="00000000" w:rsidRDefault="00000000" w:rsidRPr="00000000" w14:paraId="00000052">
    <w:pPr>
      <w:rPr>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3" style="position:absolute;width:473.6pt;height:202.5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2" style="position:absolute;width:473.6pt;height:202.5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1" style="position:absolute;width:473.6pt;height:202.5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b w:val="1"/>
        <w:bCs w:val="1"/>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3">
    <w:lvl w:ilvl="0">
      <w:start w:val="3"/>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4"/>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22"/>
      <w:numFmt w:val="upperLetter"/>
      <w:lvlText w:val="%1."/>
      <w:lvlJc w:val="left"/>
      <w:pPr>
        <w:ind w:left="720" w:hanging="360"/>
      </w:pPr>
      <w:rPr/>
    </w:lvl>
    <w:lvl w:ilvl="1">
      <w:start w:val="1"/>
      <w:numFmt w:val="upperLetter"/>
      <w:lvlText w:val="%2."/>
      <w:lvlJc w:val="left"/>
      <w:pPr>
        <w:ind w:left="1440" w:hanging="360"/>
      </w:pPr>
      <w:rPr/>
    </w:lvl>
    <w:lvl w:ilvl="2">
      <w:start w:val="1"/>
      <w:numFmt w:val="upperLetter"/>
      <w:lvlText w:val="%3."/>
      <w:lvlJc w:val="left"/>
      <w:pPr>
        <w:ind w:left="2160" w:hanging="360"/>
      </w:pPr>
      <w:rPr/>
    </w:lvl>
    <w:lvl w:ilvl="3">
      <w:start w:val="1"/>
      <w:numFmt w:val="upperLetter"/>
      <w:lvlText w:val="%4."/>
      <w:lvlJc w:val="left"/>
      <w:pPr>
        <w:ind w:left="2880" w:hanging="360"/>
      </w:pPr>
      <w:rPr/>
    </w:lvl>
    <w:lvl w:ilvl="4">
      <w:start w:val="1"/>
      <w:numFmt w:val="upperLetter"/>
      <w:lvlText w:val="%5."/>
      <w:lvlJc w:val="left"/>
      <w:pPr>
        <w:ind w:left="3600" w:hanging="360"/>
      </w:pPr>
      <w:rPr/>
    </w:lvl>
    <w:lvl w:ilvl="5">
      <w:start w:val="1"/>
      <w:numFmt w:val="upperLetter"/>
      <w:lvlText w:val="%6."/>
      <w:lvlJc w:val="left"/>
      <w:pPr>
        <w:ind w:left="4320" w:hanging="360"/>
      </w:pPr>
      <w:rPr/>
    </w:lvl>
    <w:lvl w:ilvl="6">
      <w:start w:val="1"/>
      <w:numFmt w:val="upperLetter"/>
      <w:lvlText w:val="%7."/>
      <w:lvlJc w:val="left"/>
      <w:pPr>
        <w:ind w:left="5040" w:hanging="360"/>
      </w:pPr>
      <w:rPr/>
    </w:lvl>
    <w:lvl w:ilvl="7">
      <w:start w:val="1"/>
      <w:numFmt w:val="upperLetter"/>
      <w:lvlText w:val="%8."/>
      <w:lvlJc w:val="left"/>
      <w:pPr>
        <w:ind w:left="5760" w:hanging="360"/>
      </w:pPr>
      <w:rPr/>
    </w:lvl>
    <w:lvl w:ilvl="8">
      <w:start w:val="1"/>
      <w:numFmt w:val="upperLetter"/>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6"/>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7"/>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8"/>
      <w:numFmt w:val="upperRoman"/>
      <w:lvlText w:val="%1."/>
      <w:lvlJc w:val="right"/>
      <w:pPr>
        <w:ind w:left="720" w:hanging="360"/>
      </w:pPr>
      <w:rPr>
        <w:b w:val="1"/>
        <w:bCs w:val="1"/>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C57A2E"/>
    <w:pPr>
      <w:tabs>
        <w:tab w:val="center" w:pos="4680"/>
        <w:tab w:val="right" w:pos="9360"/>
      </w:tabs>
    </w:pPr>
  </w:style>
  <w:style w:type="character" w:styleId="HeaderChar" w:customStyle="1">
    <w:name w:val="Header Char"/>
    <w:basedOn w:val="DefaultParagraphFont"/>
    <w:link w:val="Header"/>
    <w:uiPriority w:val="99"/>
    <w:rsid w:val="00C57A2E"/>
  </w:style>
  <w:style w:type="paragraph" w:styleId="Footer">
    <w:name w:val="footer"/>
    <w:basedOn w:val="Normal"/>
    <w:link w:val="FooterChar"/>
    <w:uiPriority w:val="99"/>
    <w:unhideWhenUsed w:val="1"/>
    <w:rsid w:val="00C57A2E"/>
    <w:pPr>
      <w:tabs>
        <w:tab w:val="center" w:pos="4680"/>
        <w:tab w:val="right" w:pos="9360"/>
      </w:tabs>
    </w:pPr>
  </w:style>
  <w:style w:type="character" w:styleId="FooterChar" w:customStyle="1">
    <w:name w:val="Footer Char"/>
    <w:basedOn w:val="DefaultParagraphFont"/>
    <w:link w:val="Footer"/>
    <w:uiPriority w:val="99"/>
    <w:rsid w:val="00C57A2E"/>
  </w:style>
  <w:style w:type="table" w:styleId="1" w:customStyle="1">
    <w:name w:val="1"/>
    <w:basedOn w:val="TableNormal"/>
    <w:tblPr>
      <w:tblStyleRowBandSize w:val="1"/>
      <w:tblStyleColBandSize w:val="1"/>
      <w:tblCellMar>
        <w:left w:w="0.0" w:type="dxa"/>
        <w:right w:w="0.0" w:type="dxa"/>
      </w:tblCellMar>
    </w:tblPr>
  </w:style>
  <w:style w:type="paragraph" w:styleId="ListParagraph">
    <w:name w:val="List Paragraph"/>
    <w:basedOn w:val="Normal"/>
    <w:uiPriority w:val="34"/>
    <w:qFormat w:val="1"/>
    <w:rsid w:val="00C36A0F"/>
    <w:pPr>
      <w:ind w:left="720"/>
      <w:contextualSpacing w:val="1"/>
    </w:pPr>
  </w:style>
  <w:style w:type="paragraph" w:styleId="ListBullet">
    <w:name w:val="List Bullet"/>
    <w:basedOn w:val="Normal"/>
    <w:uiPriority w:val="99"/>
    <w:unhideWhenUsed w:val="1"/>
    <w:rsid w:val="001834F2"/>
    <w:pPr>
      <w:numPr>
        <w:numId w:val="2"/>
      </w:numPr>
      <w:spacing w:after="200" w:line="276" w:lineRule="auto"/>
      <w:contextualSpacing w:val="1"/>
    </w:pPr>
    <w:rPr>
      <w:rFonts w:ascii="Cambria" w:cs="Cambria" w:eastAsia="Cambria" w:hAnsi="Cambria"/>
    </w:rPr>
  </w:style>
  <w:style w:type="table" w:styleId="a"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typcpIGXj2pSoRpw06j+LbAxww==">CgMxLjAyCWlkLmdqZGd4czgAciExUDV6aUQ5U0JIVWFNLUJfYzZIOTVkOGdpRld2ZWdkbEw=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2025-11-06T14:46:00Z</dcterms:created>
  <dc:creator>Windows User</dc:creator>
</cp:coreProperties>
</file>